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D4" w:rsidRDefault="000E1C28" w:rsidP="000E1C28">
      <w:pPr>
        <w:bidi w:val="0"/>
        <w:spacing w:before="300" w:after="40" w:line="276" w:lineRule="auto"/>
        <w:rPr>
          <w:b/>
          <w:smallCaps/>
          <w:sz w:val="32"/>
          <w:szCs w:val="32"/>
          <w:u w:val="single"/>
        </w:rPr>
      </w:pPr>
      <w:bookmarkStart w:id="0" w:name="_gjdgxs" w:colFirst="0" w:colLast="0"/>
      <w:bookmarkStart w:id="1" w:name="_GoBack"/>
      <w:bookmarkEnd w:id="0"/>
      <w:bookmarkEnd w:id="1"/>
      <w:r>
        <w:rPr>
          <w:b/>
          <w:smallCaps/>
          <w:sz w:val="32"/>
          <w:szCs w:val="32"/>
          <w:u w:val="single"/>
        </w:rPr>
        <w:t>Literature Tips for the internal exam and summative Assessment</w:t>
      </w:r>
    </w:p>
    <w:p w:rsidR="00551BD4" w:rsidRDefault="000E1C28" w:rsidP="000E1C28">
      <w:pPr>
        <w:bidi w:val="0"/>
        <w:spacing w:before="300" w:after="40" w:line="276" w:lineRule="auto"/>
        <w:rPr>
          <w:b/>
          <w:smallCaps/>
          <w:sz w:val="28"/>
          <w:szCs w:val="28"/>
        </w:rPr>
      </w:pPr>
      <w:r>
        <w:rPr>
          <w:b/>
          <w:smallCaps/>
          <w:sz w:val="28"/>
          <w:szCs w:val="28"/>
        </w:rPr>
        <w:t>Assessment preparation guidelines</w:t>
      </w:r>
    </w:p>
    <w:p w:rsidR="00551BD4" w:rsidRDefault="000E1C28" w:rsidP="000E1C28">
      <w:pPr>
        <w:numPr>
          <w:ilvl w:val="0"/>
          <w:numId w:val="2"/>
        </w:numPr>
        <w:bidi w:val="0"/>
        <w:spacing w:after="0" w:line="276" w:lineRule="auto"/>
      </w:pPr>
      <w:r>
        <w:rPr>
          <w:sz w:val="24"/>
          <w:szCs w:val="24"/>
        </w:rPr>
        <w:t xml:space="preserve">Questions can be modeled on questions from the </w:t>
      </w:r>
      <w:proofErr w:type="spellStart"/>
      <w:r>
        <w:rPr>
          <w:sz w:val="24"/>
          <w:szCs w:val="24"/>
        </w:rPr>
        <w:t>Bagrut</w:t>
      </w:r>
      <w:proofErr w:type="spellEnd"/>
      <w:r>
        <w:rPr>
          <w:sz w:val="24"/>
          <w:szCs w:val="24"/>
        </w:rPr>
        <w:t xml:space="preserve"> exams and from the books.</w:t>
      </w:r>
    </w:p>
    <w:p w:rsidR="00551BD4" w:rsidRDefault="000E1C28" w:rsidP="000E1C28">
      <w:pPr>
        <w:numPr>
          <w:ilvl w:val="0"/>
          <w:numId w:val="2"/>
        </w:numPr>
        <w:bidi w:val="0"/>
        <w:spacing w:after="0" w:line="276" w:lineRule="auto"/>
      </w:pPr>
      <w:r>
        <w:rPr>
          <w:sz w:val="24"/>
          <w:szCs w:val="24"/>
        </w:rPr>
        <w:t>Questions must relate specifically to the text that has been taught.  Do NOT ask questions that require students to only define a literary term or a thinking skill without applying it to the text.</w:t>
      </w:r>
    </w:p>
    <w:p w:rsidR="00551BD4" w:rsidRDefault="000E1C28" w:rsidP="000E1C28">
      <w:pPr>
        <w:numPr>
          <w:ilvl w:val="0"/>
          <w:numId w:val="2"/>
        </w:numPr>
        <w:bidi w:val="0"/>
        <w:spacing w:after="0" w:line="276" w:lineRule="auto"/>
      </w:pPr>
      <w:r>
        <w:rPr>
          <w:sz w:val="24"/>
          <w:szCs w:val="24"/>
        </w:rPr>
        <w:t>The Basic Understanding (LOTS) section of your Summative Assessment may also include questions on vocabulary that you taught during the unit.</w:t>
      </w:r>
    </w:p>
    <w:p w:rsidR="00551BD4" w:rsidRDefault="000E1C28" w:rsidP="000E1C28">
      <w:pPr>
        <w:numPr>
          <w:ilvl w:val="0"/>
          <w:numId w:val="2"/>
        </w:numPr>
        <w:bidi w:val="0"/>
        <w:spacing w:after="0" w:line="276" w:lineRule="auto"/>
      </w:pPr>
      <w:r>
        <w:rPr>
          <w:sz w:val="24"/>
          <w:szCs w:val="24"/>
        </w:rPr>
        <w:t xml:space="preserve">Your Summative Assessment can include multiple-choice questions (these appear on the </w:t>
      </w:r>
      <w:proofErr w:type="spellStart"/>
      <w:r>
        <w:rPr>
          <w:sz w:val="24"/>
          <w:szCs w:val="24"/>
        </w:rPr>
        <w:t>Bagrut</w:t>
      </w:r>
      <w:proofErr w:type="spellEnd"/>
      <w:r>
        <w:rPr>
          <w:sz w:val="24"/>
          <w:szCs w:val="24"/>
        </w:rPr>
        <w:t xml:space="preserve"> exam, as well).</w:t>
      </w:r>
    </w:p>
    <w:p w:rsidR="00551BD4" w:rsidRDefault="000E1C28" w:rsidP="000E1C28">
      <w:pPr>
        <w:numPr>
          <w:ilvl w:val="0"/>
          <w:numId w:val="2"/>
        </w:numPr>
        <w:bidi w:val="0"/>
        <w:spacing w:after="200" w:line="276" w:lineRule="auto"/>
      </w:pPr>
      <w:r>
        <w:rPr>
          <w:sz w:val="24"/>
          <w:szCs w:val="24"/>
        </w:rPr>
        <w:t xml:space="preserve">The Summative Assessment does NOT include post-reading questions that require creative writing or personal response. </w:t>
      </w:r>
    </w:p>
    <w:p w:rsidR="00551BD4" w:rsidRDefault="000E1C28" w:rsidP="000E1C28">
      <w:pPr>
        <w:bidi w:val="0"/>
        <w:spacing w:before="300" w:after="40" w:line="276" w:lineRule="auto"/>
        <w:rPr>
          <w:b/>
          <w:smallCaps/>
          <w:sz w:val="28"/>
          <w:szCs w:val="28"/>
        </w:rPr>
      </w:pPr>
      <w:bookmarkStart w:id="2" w:name="_30j0zll" w:colFirst="0" w:colLast="0"/>
      <w:bookmarkEnd w:id="2"/>
      <w:r>
        <w:rPr>
          <w:b/>
          <w:smallCaps/>
          <w:sz w:val="28"/>
          <w:szCs w:val="28"/>
        </w:rPr>
        <w:t>Assessing your students’ answers</w:t>
      </w:r>
    </w:p>
    <w:p w:rsidR="00551BD4" w:rsidRDefault="000E1C28" w:rsidP="000E1C28">
      <w:pPr>
        <w:bidi w:val="0"/>
        <w:spacing w:after="200" w:line="276" w:lineRule="auto"/>
        <w:rPr>
          <w:sz w:val="24"/>
          <w:szCs w:val="24"/>
        </w:rPr>
      </w:pPr>
      <w:r>
        <w:rPr>
          <w:sz w:val="24"/>
          <w:szCs w:val="24"/>
        </w:rPr>
        <w:t xml:space="preserve">Whether you are doing Logs or the internal exam, your Summative Assessment/ exam </w:t>
      </w:r>
      <w:proofErr w:type="gramStart"/>
      <w:r>
        <w:rPr>
          <w:sz w:val="24"/>
          <w:szCs w:val="24"/>
        </w:rPr>
        <w:t>should</w:t>
      </w:r>
      <w:proofErr w:type="gramEnd"/>
      <w:r>
        <w:rPr>
          <w:sz w:val="24"/>
          <w:szCs w:val="24"/>
        </w:rPr>
        <w:t xml:space="preserve"> be marked as follows:</w:t>
      </w:r>
    </w:p>
    <w:p w:rsidR="00551BD4" w:rsidRDefault="000E1C28" w:rsidP="000E1C28">
      <w:pPr>
        <w:numPr>
          <w:ilvl w:val="0"/>
          <w:numId w:val="1"/>
        </w:numPr>
        <w:bidi w:val="0"/>
        <w:spacing w:after="200" w:line="276" w:lineRule="auto"/>
      </w:pPr>
      <w:r>
        <w:rPr>
          <w:sz w:val="24"/>
          <w:szCs w:val="24"/>
        </w:rPr>
        <w:t>Module B: content – 100%</w:t>
      </w:r>
    </w:p>
    <w:p w:rsidR="00551BD4" w:rsidRDefault="000E1C28" w:rsidP="000E1C28">
      <w:pPr>
        <w:numPr>
          <w:ilvl w:val="0"/>
          <w:numId w:val="1"/>
        </w:numPr>
        <w:bidi w:val="0"/>
        <w:spacing w:after="200" w:line="276" w:lineRule="auto"/>
      </w:pPr>
      <w:r>
        <w:rPr>
          <w:sz w:val="24"/>
          <w:szCs w:val="24"/>
        </w:rPr>
        <w:t>Module D: content – 90%, language – 10%</w:t>
      </w:r>
    </w:p>
    <w:p w:rsidR="00551BD4" w:rsidRDefault="000E1C28" w:rsidP="000E1C28">
      <w:pPr>
        <w:numPr>
          <w:ilvl w:val="0"/>
          <w:numId w:val="1"/>
        </w:numPr>
        <w:bidi w:val="0"/>
        <w:spacing w:after="200" w:line="276" w:lineRule="auto"/>
      </w:pPr>
      <w:r>
        <w:rPr>
          <w:sz w:val="24"/>
          <w:szCs w:val="24"/>
        </w:rPr>
        <w:t>Module F: content – 80%, language – 20%</w:t>
      </w:r>
    </w:p>
    <w:p w:rsidR="00551BD4" w:rsidRDefault="000E1C28" w:rsidP="000E1C28">
      <w:pPr>
        <w:bidi w:val="0"/>
        <w:spacing w:after="200" w:line="276" w:lineRule="auto"/>
        <w:rPr>
          <w:sz w:val="24"/>
          <w:szCs w:val="24"/>
        </w:rPr>
      </w:pPr>
      <w:r>
        <w:rPr>
          <w:sz w:val="24"/>
          <w:szCs w:val="24"/>
        </w:rPr>
        <w:t xml:space="preserve">The following tips, which are in accordance with the grading rubrics in the </w:t>
      </w:r>
      <w:r>
        <w:rPr>
          <w:i/>
          <w:sz w:val="24"/>
          <w:szCs w:val="24"/>
        </w:rPr>
        <w:t>Handbook</w:t>
      </w:r>
      <w:r>
        <w:rPr>
          <w:sz w:val="24"/>
          <w:szCs w:val="24"/>
        </w:rPr>
        <w:t>, can help you when assessing students’ answers:</w:t>
      </w:r>
    </w:p>
    <w:p w:rsidR="00551BD4" w:rsidRDefault="000E1C28" w:rsidP="000E1C28">
      <w:pPr>
        <w:bidi w:val="0"/>
        <w:spacing w:after="200" w:line="276" w:lineRule="auto"/>
        <w:rPr>
          <w:sz w:val="24"/>
          <w:szCs w:val="24"/>
        </w:rPr>
      </w:pPr>
      <w:r>
        <w:rPr>
          <w:b/>
          <w:i/>
          <w:sz w:val="24"/>
          <w:szCs w:val="24"/>
        </w:rPr>
        <w:t xml:space="preserve">HOTS and LOTS questions: </w:t>
      </w:r>
    </w:p>
    <w:tbl>
      <w:tblPr>
        <w:tblStyle w:val="a5"/>
        <w:tblW w:w="8296" w:type="dxa"/>
        <w:tblLayout w:type="fixed"/>
        <w:tblLook w:val="0400" w:firstRow="0" w:lastRow="0" w:firstColumn="0" w:lastColumn="0" w:noHBand="0" w:noVBand="1"/>
      </w:tblPr>
      <w:tblGrid>
        <w:gridCol w:w="3808"/>
        <w:gridCol w:w="4488"/>
      </w:tblGrid>
      <w:tr w:rsidR="00551BD4">
        <w:tc>
          <w:tcPr>
            <w:tcW w:w="3808" w:type="dxa"/>
            <w:tcBorders>
              <w:top w:val="single" w:sz="4" w:space="0" w:color="000000"/>
              <w:left w:val="single" w:sz="4" w:space="0" w:color="000000"/>
              <w:bottom w:val="single" w:sz="4" w:space="0" w:color="000000"/>
              <w:right w:val="single" w:sz="4" w:space="0" w:color="000000"/>
            </w:tcBorders>
            <w:shd w:val="clear" w:color="auto" w:fill="E6E6E6"/>
            <w:tcMar>
              <w:top w:w="142" w:type="dxa"/>
              <w:left w:w="115" w:type="dxa"/>
              <w:bottom w:w="142" w:type="dxa"/>
              <w:right w:w="115" w:type="dxa"/>
            </w:tcMar>
            <w:vAlign w:val="center"/>
          </w:tcPr>
          <w:p w:rsidR="00551BD4" w:rsidRDefault="000E1C28" w:rsidP="000E1C28">
            <w:pPr>
              <w:bidi w:val="0"/>
              <w:spacing w:after="0" w:line="276" w:lineRule="auto"/>
              <w:rPr>
                <w:sz w:val="24"/>
                <w:szCs w:val="24"/>
              </w:rPr>
            </w:pPr>
            <w:r>
              <w:rPr>
                <w:b/>
                <w:sz w:val="24"/>
                <w:szCs w:val="24"/>
              </w:rPr>
              <w:t>Descriptor</w:t>
            </w:r>
          </w:p>
        </w:tc>
        <w:tc>
          <w:tcPr>
            <w:tcW w:w="4488" w:type="dxa"/>
            <w:tcBorders>
              <w:top w:val="single" w:sz="4" w:space="0" w:color="000000"/>
              <w:left w:val="single" w:sz="4" w:space="0" w:color="000000"/>
              <w:bottom w:val="single" w:sz="4" w:space="0" w:color="000000"/>
              <w:right w:val="single" w:sz="4" w:space="0" w:color="000000"/>
            </w:tcBorders>
            <w:shd w:val="clear" w:color="auto" w:fill="E6E6E6"/>
            <w:tcMar>
              <w:top w:w="142" w:type="dxa"/>
              <w:left w:w="115" w:type="dxa"/>
              <w:bottom w:w="142" w:type="dxa"/>
              <w:right w:w="115" w:type="dxa"/>
            </w:tcMar>
            <w:vAlign w:val="center"/>
          </w:tcPr>
          <w:p w:rsidR="00551BD4" w:rsidRDefault="000E1C28" w:rsidP="000E1C28">
            <w:pPr>
              <w:bidi w:val="0"/>
              <w:spacing w:after="0" w:line="276" w:lineRule="auto"/>
              <w:rPr>
                <w:sz w:val="24"/>
                <w:szCs w:val="24"/>
              </w:rPr>
            </w:pPr>
            <w:r>
              <w:rPr>
                <w:b/>
                <w:sz w:val="24"/>
                <w:szCs w:val="24"/>
              </w:rPr>
              <w:t>Tip</w:t>
            </w:r>
          </w:p>
        </w:tc>
      </w:tr>
      <w:tr w:rsidR="00551BD4">
        <w:tc>
          <w:tcPr>
            <w:tcW w:w="380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The student has answered the question.</w:t>
            </w:r>
          </w:p>
        </w:tc>
        <w:tc>
          <w:tcPr>
            <w:tcW w:w="448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Read the question and the answer together to be sure.</w:t>
            </w:r>
          </w:p>
        </w:tc>
      </w:tr>
      <w:tr w:rsidR="00551BD4">
        <w:trPr>
          <w:trHeight w:val="820"/>
        </w:trPr>
        <w:tc>
          <w:tcPr>
            <w:tcW w:w="380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The answer is clear and correct.</w:t>
            </w:r>
          </w:p>
        </w:tc>
        <w:tc>
          <w:tcPr>
            <w:tcW w:w="448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Points should be deducted for inaccurate details and/or for lack of clarity.  Use the appropriate rubric.</w:t>
            </w:r>
          </w:p>
        </w:tc>
      </w:tr>
      <w:tr w:rsidR="00551BD4">
        <w:tc>
          <w:tcPr>
            <w:tcW w:w="380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 xml:space="preserve">The student has provided appropriate supporting details from </w:t>
            </w:r>
            <w:r>
              <w:rPr>
                <w:sz w:val="24"/>
                <w:szCs w:val="24"/>
              </w:rPr>
              <w:lastRenderedPageBreak/>
              <w:t>the text.</w:t>
            </w:r>
          </w:p>
        </w:tc>
        <w:tc>
          <w:tcPr>
            <w:tcW w:w="448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lastRenderedPageBreak/>
              <w:t xml:space="preserve">Points should be deducted for lack of supporting details.  Use the appropriate </w:t>
            </w:r>
            <w:r>
              <w:rPr>
                <w:sz w:val="24"/>
                <w:szCs w:val="24"/>
              </w:rPr>
              <w:lastRenderedPageBreak/>
              <w:t>rubric.</w:t>
            </w:r>
          </w:p>
        </w:tc>
      </w:tr>
      <w:tr w:rsidR="00551BD4">
        <w:tc>
          <w:tcPr>
            <w:tcW w:w="380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lastRenderedPageBreak/>
              <w:t>The student has demonstrated understanding of the literary term in the question (if the question relates to a literary term).</w:t>
            </w:r>
          </w:p>
        </w:tc>
        <w:tc>
          <w:tcPr>
            <w:tcW w:w="4488"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Example:  If the question asks what the importance of the setting is to the story, the student has demonstrated that he knows that setting is time and/or place.</w:t>
            </w:r>
          </w:p>
        </w:tc>
      </w:tr>
    </w:tbl>
    <w:p w:rsidR="00551BD4" w:rsidRDefault="00551BD4" w:rsidP="000E1C28">
      <w:pPr>
        <w:bidi w:val="0"/>
        <w:spacing w:after="200" w:line="276" w:lineRule="auto"/>
        <w:rPr>
          <w:sz w:val="24"/>
          <w:szCs w:val="24"/>
        </w:rPr>
      </w:pPr>
    </w:p>
    <w:p w:rsidR="00551BD4" w:rsidRDefault="000E1C28" w:rsidP="000E1C28">
      <w:pPr>
        <w:bidi w:val="0"/>
        <w:spacing w:after="200" w:line="276" w:lineRule="auto"/>
        <w:rPr>
          <w:sz w:val="24"/>
          <w:szCs w:val="24"/>
        </w:rPr>
      </w:pPr>
      <w:r>
        <w:rPr>
          <w:b/>
          <w:i/>
          <w:sz w:val="24"/>
          <w:szCs w:val="24"/>
        </w:rPr>
        <w:t>Extended HOTS question (modules D and F):</w:t>
      </w:r>
    </w:p>
    <w:tbl>
      <w:tblPr>
        <w:tblStyle w:val="a6"/>
        <w:tblW w:w="8296" w:type="dxa"/>
        <w:tblLayout w:type="fixed"/>
        <w:tblLook w:val="0400" w:firstRow="0" w:lastRow="0" w:firstColumn="0" w:lastColumn="0" w:noHBand="0" w:noVBand="1"/>
      </w:tblPr>
      <w:tblGrid>
        <w:gridCol w:w="3467"/>
        <w:gridCol w:w="4829"/>
      </w:tblGrid>
      <w:tr w:rsidR="00551BD4">
        <w:tc>
          <w:tcPr>
            <w:tcW w:w="3467" w:type="dxa"/>
            <w:tcBorders>
              <w:top w:val="single" w:sz="4" w:space="0" w:color="000000"/>
              <w:left w:val="single" w:sz="4" w:space="0" w:color="000000"/>
              <w:bottom w:val="single" w:sz="4" w:space="0" w:color="000000"/>
              <w:right w:val="single" w:sz="4" w:space="0" w:color="000000"/>
            </w:tcBorders>
            <w:shd w:val="clear" w:color="auto" w:fill="E6E6E6"/>
            <w:tcMar>
              <w:top w:w="142" w:type="dxa"/>
              <w:left w:w="115" w:type="dxa"/>
              <w:bottom w:w="142" w:type="dxa"/>
              <w:right w:w="115" w:type="dxa"/>
            </w:tcMar>
            <w:vAlign w:val="center"/>
          </w:tcPr>
          <w:p w:rsidR="00551BD4" w:rsidRDefault="000E1C28" w:rsidP="000E1C28">
            <w:pPr>
              <w:bidi w:val="0"/>
              <w:spacing w:after="0" w:line="276" w:lineRule="auto"/>
              <w:rPr>
                <w:sz w:val="24"/>
                <w:szCs w:val="24"/>
              </w:rPr>
            </w:pPr>
            <w:r>
              <w:rPr>
                <w:b/>
                <w:sz w:val="24"/>
                <w:szCs w:val="24"/>
              </w:rPr>
              <w:t>Descriptor</w:t>
            </w:r>
          </w:p>
        </w:tc>
        <w:tc>
          <w:tcPr>
            <w:tcW w:w="4829" w:type="dxa"/>
            <w:tcBorders>
              <w:top w:val="single" w:sz="4" w:space="0" w:color="000000"/>
              <w:left w:val="single" w:sz="4" w:space="0" w:color="000000"/>
              <w:bottom w:val="single" w:sz="4" w:space="0" w:color="000000"/>
              <w:right w:val="single" w:sz="4" w:space="0" w:color="000000"/>
            </w:tcBorders>
            <w:shd w:val="clear" w:color="auto" w:fill="E6E6E6"/>
            <w:tcMar>
              <w:top w:w="142" w:type="dxa"/>
              <w:left w:w="115" w:type="dxa"/>
              <w:bottom w:w="142" w:type="dxa"/>
              <w:right w:w="115" w:type="dxa"/>
            </w:tcMar>
            <w:vAlign w:val="center"/>
          </w:tcPr>
          <w:p w:rsidR="00551BD4" w:rsidRDefault="000E1C28" w:rsidP="000E1C28">
            <w:pPr>
              <w:bidi w:val="0"/>
              <w:spacing w:after="0" w:line="276" w:lineRule="auto"/>
              <w:rPr>
                <w:sz w:val="24"/>
                <w:szCs w:val="24"/>
              </w:rPr>
            </w:pPr>
            <w:r>
              <w:rPr>
                <w:b/>
                <w:sz w:val="24"/>
                <w:szCs w:val="24"/>
              </w:rPr>
              <w:t>Tip</w:t>
            </w:r>
          </w:p>
        </w:tc>
      </w:tr>
      <w:tr w:rsidR="00551BD4">
        <w:tc>
          <w:tcPr>
            <w:tcW w:w="3467"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 xml:space="preserve">The student has named </w:t>
            </w:r>
            <w:proofErr w:type="gramStart"/>
            <w:r>
              <w:rPr>
                <w:sz w:val="24"/>
                <w:szCs w:val="24"/>
              </w:rPr>
              <w:t>an appropriate HOTS</w:t>
            </w:r>
            <w:proofErr w:type="gramEnd"/>
            <w:r>
              <w:rPr>
                <w:sz w:val="24"/>
                <w:szCs w:val="24"/>
              </w:rPr>
              <w:t xml:space="preserve"> to answer the question.</w:t>
            </w:r>
          </w:p>
        </w:tc>
        <w:tc>
          <w:tcPr>
            <w:tcW w:w="4829"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 xml:space="preserve">Even though it is possible to use more than one HOTS to answer a particular question, students should choose only </w:t>
            </w:r>
            <w:r>
              <w:rPr>
                <w:sz w:val="24"/>
                <w:szCs w:val="24"/>
                <w:u w:val="single"/>
              </w:rPr>
              <w:t>one</w:t>
            </w:r>
            <w:r>
              <w:rPr>
                <w:sz w:val="24"/>
                <w:szCs w:val="24"/>
              </w:rPr>
              <w:t xml:space="preserve"> HOTS.</w:t>
            </w:r>
          </w:p>
        </w:tc>
      </w:tr>
      <w:tr w:rsidR="00551BD4">
        <w:tc>
          <w:tcPr>
            <w:tcW w:w="3467"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There is appropriate evidence of the use of the chosen HOTS in the student’s answer.</w:t>
            </w:r>
          </w:p>
        </w:tc>
        <w:tc>
          <w:tcPr>
            <w:tcW w:w="4829"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 xml:space="preserve">Look for vocabulary that is directly connected to the chosen HOTS.  See the list of vocabulary for thinking skills in the </w:t>
            </w:r>
            <w:r>
              <w:rPr>
                <w:i/>
                <w:sz w:val="24"/>
                <w:szCs w:val="24"/>
              </w:rPr>
              <w:t>Handbook</w:t>
            </w:r>
            <w:r>
              <w:rPr>
                <w:sz w:val="24"/>
                <w:szCs w:val="24"/>
              </w:rPr>
              <w:t xml:space="preserve">. </w:t>
            </w:r>
          </w:p>
        </w:tc>
      </w:tr>
    </w:tbl>
    <w:p w:rsidR="00551BD4" w:rsidRDefault="00551BD4" w:rsidP="000E1C28">
      <w:pPr>
        <w:bidi w:val="0"/>
        <w:spacing w:after="200" w:line="276" w:lineRule="auto"/>
        <w:rPr>
          <w:sz w:val="24"/>
          <w:szCs w:val="24"/>
        </w:rPr>
      </w:pPr>
    </w:p>
    <w:p w:rsidR="00551BD4" w:rsidRDefault="000E1C28" w:rsidP="000E1C28">
      <w:pPr>
        <w:bidi w:val="0"/>
        <w:spacing w:after="200" w:line="276" w:lineRule="auto"/>
        <w:rPr>
          <w:sz w:val="24"/>
          <w:szCs w:val="24"/>
        </w:rPr>
      </w:pPr>
      <w:r>
        <w:rPr>
          <w:b/>
          <w:i/>
          <w:sz w:val="24"/>
          <w:szCs w:val="24"/>
        </w:rPr>
        <w:t>Bridging Text and Context questions (modules D and F):</w:t>
      </w:r>
    </w:p>
    <w:tbl>
      <w:tblPr>
        <w:tblStyle w:val="a7"/>
        <w:tblW w:w="8296" w:type="dxa"/>
        <w:tblLayout w:type="fixed"/>
        <w:tblLook w:val="0400" w:firstRow="0" w:lastRow="0" w:firstColumn="0" w:lastColumn="0" w:noHBand="0" w:noVBand="1"/>
      </w:tblPr>
      <w:tblGrid>
        <w:gridCol w:w="3869"/>
        <w:gridCol w:w="4427"/>
      </w:tblGrid>
      <w:tr w:rsidR="00551BD4">
        <w:tc>
          <w:tcPr>
            <w:tcW w:w="3869" w:type="dxa"/>
            <w:tcBorders>
              <w:top w:val="single" w:sz="4" w:space="0" w:color="000000"/>
              <w:left w:val="single" w:sz="4" w:space="0" w:color="000000"/>
              <w:bottom w:val="single" w:sz="4" w:space="0" w:color="000000"/>
              <w:right w:val="single" w:sz="4" w:space="0" w:color="000000"/>
            </w:tcBorders>
            <w:shd w:val="clear" w:color="auto" w:fill="E6E6E6"/>
            <w:tcMar>
              <w:top w:w="142" w:type="dxa"/>
              <w:left w:w="115" w:type="dxa"/>
              <w:bottom w:w="142" w:type="dxa"/>
              <w:right w:w="115" w:type="dxa"/>
            </w:tcMar>
            <w:vAlign w:val="center"/>
          </w:tcPr>
          <w:p w:rsidR="00551BD4" w:rsidRDefault="000E1C28" w:rsidP="000E1C28">
            <w:pPr>
              <w:bidi w:val="0"/>
              <w:spacing w:after="0" w:line="276" w:lineRule="auto"/>
              <w:rPr>
                <w:sz w:val="24"/>
                <w:szCs w:val="24"/>
              </w:rPr>
            </w:pPr>
            <w:r>
              <w:rPr>
                <w:b/>
                <w:sz w:val="24"/>
                <w:szCs w:val="24"/>
              </w:rPr>
              <w:t>Descriptor</w:t>
            </w:r>
          </w:p>
        </w:tc>
        <w:tc>
          <w:tcPr>
            <w:tcW w:w="4427" w:type="dxa"/>
            <w:tcBorders>
              <w:top w:val="single" w:sz="4" w:space="0" w:color="000000"/>
              <w:left w:val="single" w:sz="4" w:space="0" w:color="000000"/>
              <w:bottom w:val="single" w:sz="4" w:space="0" w:color="000000"/>
              <w:right w:val="single" w:sz="4" w:space="0" w:color="000000"/>
            </w:tcBorders>
            <w:shd w:val="clear" w:color="auto" w:fill="E6E6E6"/>
            <w:tcMar>
              <w:top w:w="142" w:type="dxa"/>
              <w:left w:w="115" w:type="dxa"/>
              <w:bottom w:w="142" w:type="dxa"/>
              <w:right w:w="115" w:type="dxa"/>
            </w:tcMar>
            <w:vAlign w:val="center"/>
          </w:tcPr>
          <w:p w:rsidR="00551BD4" w:rsidRDefault="000E1C28" w:rsidP="000E1C28">
            <w:pPr>
              <w:bidi w:val="0"/>
              <w:spacing w:after="0" w:line="276" w:lineRule="auto"/>
              <w:rPr>
                <w:sz w:val="24"/>
                <w:szCs w:val="24"/>
              </w:rPr>
            </w:pPr>
            <w:r>
              <w:rPr>
                <w:b/>
                <w:sz w:val="24"/>
                <w:szCs w:val="24"/>
              </w:rPr>
              <w:t>Tip</w:t>
            </w:r>
          </w:p>
        </w:tc>
      </w:tr>
      <w:tr w:rsidR="00551BD4">
        <w:tc>
          <w:tcPr>
            <w:tcW w:w="3869"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All of the information in the answer is relevant to the question and accurate.</w:t>
            </w:r>
          </w:p>
        </w:tc>
        <w:tc>
          <w:tcPr>
            <w:tcW w:w="4427"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Deduct for irrelevant and/or inaccurate information according to the rubric.</w:t>
            </w:r>
          </w:p>
        </w:tc>
      </w:tr>
      <w:tr w:rsidR="00551BD4">
        <w:tc>
          <w:tcPr>
            <w:tcW w:w="3869"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 xml:space="preserve">The student has related to </w:t>
            </w:r>
            <w:r>
              <w:rPr>
                <w:sz w:val="24"/>
                <w:szCs w:val="24"/>
                <w:u w:val="single"/>
              </w:rPr>
              <w:t>both</w:t>
            </w:r>
            <w:r>
              <w:rPr>
                <w:sz w:val="24"/>
                <w:szCs w:val="24"/>
              </w:rPr>
              <w:t xml:space="preserve"> the new information and the text.</w:t>
            </w:r>
          </w:p>
        </w:tc>
        <w:tc>
          <w:tcPr>
            <w:tcW w:w="4427"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This should be clear and explicit.  </w:t>
            </w:r>
          </w:p>
        </w:tc>
      </w:tr>
      <w:tr w:rsidR="00551BD4">
        <w:tc>
          <w:tcPr>
            <w:tcW w:w="3869"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The student has demonstrated understanding of the new information.</w:t>
            </w:r>
          </w:p>
        </w:tc>
        <w:tc>
          <w:tcPr>
            <w:tcW w:w="4427"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In order to make a connection, the student must first show that he understands the new information that he has read.</w:t>
            </w:r>
          </w:p>
        </w:tc>
      </w:tr>
      <w:tr w:rsidR="00551BD4">
        <w:tc>
          <w:tcPr>
            <w:tcW w:w="3869"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 xml:space="preserve">The student has made a clear and appropriate </w:t>
            </w:r>
            <w:r>
              <w:rPr>
                <w:sz w:val="24"/>
                <w:szCs w:val="24"/>
                <w:u w:val="single"/>
              </w:rPr>
              <w:t>connection</w:t>
            </w:r>
            <w:r>
              <w:rPr>
                <w:sz w:val="24"/>
                <w:szCs w:val="24"/>
              </w:rPr>
              <w:t xml:space="preserve"> between the new information and the text.</w:t>
            </w:r>
          </w:p>
        </w:tc>
        <w:tc>
          <w:tcPr>
            <w:tcW w:w="4427"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This connection should be explicitly stated.</w:t>
            </w:r>
          </w:p>
        </w:tc>
      </w:tr>
      <w:tr w:rsidR="00551BD4">
        <w:trPr>
          <w:trHeight w:val="860"/>
        </w:trPr>
        <w:tc>
          <w:tcPr>
            <w:tcW w:w="3869"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lastRenderedPageBreak/>
              <w:t>The student has provided supporting details from the text.</w:t>
            </w:r>
          </w:p>
        </w:tc>
        <w:tc>
          <w:tcPr>
            <w:tcW w:w="4427" w:type="dxa"/>
            <w:tcBorders>
              <w:top w:val="single" w:sz="4" w:space="0" w:color="000000"/>
              <w:left w:val="single" w:sz="4" w:space="0" w:color="000000"/>
              <w:bottom w:val="single" w:sz="4" w:space="0" w:color="000000"/>
              <w:right w:val="single" w:sz="4" w:space="0" w:color="000000"/>
            </w:tcBorders>
            <w:tcMar>
              <w:top w:w="142" w:type="dxa"/>
              <w:left w:w="115" w:type="dxa"/>
              <w:bottom w:w="142" w:type="dxa"/>
              <w:right w:w="115" w:type="dxa"/>
            </w:tcMar>
          </w:tcPr>
          <w:p w:rsidR="00551BD4" w:rsidRDefault="000E1C28" w:rsidP="000E1C28">
            <w:pPr>
              <w:bidi w:val="0"/>
              <w:spacing w:after="0" w:line="276" w:lineRule="auto"/>
              <w:rPr>
                <w:sz w:val="24"/>
                <w:szCs w:val="24"/>
              </w:rPr>
            </w:pPr>
            <w:r>
              <w:rPr>
                <w:sz w:val="24"/>
                <w:szCs w:val="24"/>
              </w:rPr>
              <w:t xml:space="preserve">The details should be </w:t>
            </w:r>
            <w:r>
              <w:rPr>
                <w:sz w:val="24"/>
                <w:szCs w:val="24"/>
                <w:u w:val="single"/>
              </w:rPr>
              <w:t>specific</w:t>
            </w:r>
            <w:r>
              <w:rPr>
                <w:sz w:val="24"/>
                <w:szCs w:val="24"/>
              </w:rPr>
              <w:t>, not just general statements about the text.  Deduct for missing details according to the rubric.</w:t>
            </w:r>
          </w:p>
        </w:tc>
      </w:tr>
    </w:tbl>
    <w:p w:rsidR="00551BD4" w:rsidRDefault="000E1C28" w:rsidP="000E1C28">
      <w:pPr>
        <w:numPr>
          <w:ilvl w:val="0"/>
          <w:numId w:val="3"/>
        </w:numPr>
        <w:bidi w:val="0"/>
        <w:spacing w:after="200" w:line="276" w:lineRule="auto"/>
        <w:rPr>
          <w:i/>
        </w:rPr>
      </w:pPr>
      <w:r>
        <w:rPr>
          <w:i/>
          <w:sz w:val="24"/>
          <w:szCs w:val="24"/>
        </w:rPr>
        <w:t>Note that although the recommended length for a Bridging Text and Context answer is 60-80 words for the D module and 80-100 words for the F module, there is no deduction for answers that are shorter or longer.</w:t>
      </w:r>
    </w:p>
    <w:p w:rsidR="00551BD4" w:rsidRDefault="000E1C28" w:rsidP="000E1C28">
      <w:pPr>
        <w:bidi w:val="0"/>
        <w:spacing w:before="240" w:after="80" w:line="276" w:lineRule="auto"/>
        <w:rPr>
          <w:b/>
          <w:smallCaps/>
          <w:sz w:val="28"/>
          <w:szCs w:val="28"/>
        </w:rPr>
      </w:pPr>
      <w:bookmarkStart w:id="3" w:name="_1fob9te" w:colFirst="0" w:colLast="0"/>
      <w:bookmarkEnd w:id="3"/>
      <w:r>
        <w:rPr>
          <w:b/>
          <w:smallCaps/>
          <w:sz w:val="28"/>
          <w:szCs w:val="28"/>
        </w:rPr>
        <w:t>Teaching your students to properly answer questions</w:t>
      </w:r>
    </w:p>
    <w:p w:rsidR="00551BD4" w:rsidRDefault="000E1C28" w:rsidP="000E1C28">
      <w:pPr>
        <w:bidi w:val="0"/>
        <w:spacing w:after="200" w:line="276" w:lineRule="auto"/>
        <w:rPr>
          <w:sz w:val="24"/>
          <w:szCs w:val="24"/>
        </w:rPr>
      </w:pPr>
      <w:r>
        <w:rPr>
          <w:sz w:val="24"/>
          <w:szCs w:val="24"/>
        </w:rPr>
        <w:t>In order to ensure your students’ success on their Summative Assessments and on the internal exam, it is important to teach them how to properly answer questions.  If your students are taking the internal exam, it is also important to introduce them to the format of the exam.  </w:t>
      </w:r>
    </w:p>
    <w:p w:rsidR="00551BD4" w:rsidRDefault="000E1C28" w:rsidP="000E1C28">
      <w:pPr>
        <w:bidi w:val="0"/>
        <w:spacing w:before="240" w:after="80" w:line="276" w:lineRule="auto"/>
        <w:rPr>
          <w:b/>
          <w:smallCaps/>
          <w:sz w:val="28"/>
          <w:szCs w:val="28"/>
        </w:rPr>
      </w:pPr>
      <w:bookmarkStart w:id="4" w:name="_3znysh7" w:colFirst="0" w:colLast="0"/>
      <w:bookmarkEnd w:id="4"/>
      <w:r>
        <w:rPr>
          <w:b/>
          <w:smallCaps/>
          <w:sz w:val="28"/>
          <w:szCs w:val="28"/>
        </w:rPr>
        <w:t xml:space="preserve">Rubrics for the Graded Key Component for Logs </w:t>
      </w:r>
    </w:p>
    <w:p w:rsidR="00551BD4" w:rsidRDefault="000E1C28" w:rsidP="000E1C28">
      <w:pPr>
        <w:bidi w:val="0"/>
        <w:spacing w:after="200" w:line="276" w:lineRule="auto"/>
        <w:rPr>
          <w:sz w:val="24"/>
          <w:szCs w:val="24"/>
        </w:rPr>
      </w:pPr>
      <w:r>
        <w:rPr>
          <w:sz w:val="24"/>
          <w:szCs w:val="24"/>
        </w:rPr>
        <w:t xml:space="preserve">The use of rubrics allows the teacher to give grades that are both reliable and accurate. Since criteria are provided, students are aware of what is expected of them and of how their work will be assessed. </w:t>
      </w:r>
    </w:p>
    <w:p w:rsidR="00551BD4" w:rsidRDefault="000E1C28" w:rsidP="000E1C28">
      <w:pPr>
        <w:bidi w:val="0"/>
        <w:spacing w:after="200" w:line="276" w:lineRule="auto"/>
        <w:rPr>
          <w:sz w:val="24"/>
          <w:szCs w:val="24"/>
        </w:rPr>
      </w:pPr>
      <w:r>
        <w:rPr>
          <w:sz w:val="24"/>
          <w:szCs w:val="24"/>
        </w:rPr>
        <w:t>Rubrics must be used for assessing the Key Component. If doing Logs, students have to include the rubrics that were used to give their grades, together with the actual activities.</w:t>
      </w:r>
    </w:p>
    <w:p w:rsidR="00551BD4" w:rsidRDefault="000E1C28" w:rsidP="000E1C28">
      <w:pPr>
        <w:bidi w:val="0"/>
        <w:spacing w:after="200" w:line="276" w:lineRule="auto"/>
        <w:rPr>
          <w:sz w:val="24"/>
          <w:szCs w:val="24"/>
        </w:rPr>
      </w:pPr>
      <w:r>
        <w:rPr>
          <w:sz w:val="24"/>
          <w:szCs w:val="24"/>
        </w:rPr>
        <w:t xml:space="preserve">There are rubrics in the </w:t>
      </w:r>
      <w:r>
        <w:rPr>
          <w:i/>
          <w:sz w:val="24"/>
          <w:szCs w:val="24"/>
        </w:rPr>
        <w:t>Handbook</w:t>
      </w:r>
      <w:r>
        <w:rPr>
          <w:sz w:val="24"/>
          <w:szCs w:val="24"/>
        </w:rPr>
        <w:t xml:space="preserve"> for the </w:t>
      </w:r>
      <w:hyperlink r:id="rId6">
        <w:r>
          <w:rPr>
            <w:color w:val="0000FF"/>
            <w:sz w:val="24"/>
            <w:szCs w:val="24"/>
            <w:u w:val="single"/>
          </w:rPr>
          <w:t>Bridging Text and Context</w:t>
        </w:r>
      </w:hyperlink>
      <w:r>
        <w:rPr>
          <w:sz w:val="24"/>
          <w:szCs w:val="24"/>
        </w:rPr>
        <w:t xml:space="preserve"> component and the </w:t>
      </w:r>
      <w:hyperlink r:id="rId7">
        <w:r>
          <w:rPr>
            <w:color w:val="0000FF"/>
            <w:sz w:val="24"/>
            <w:szCs w:val="24"/>
            <w:u w:val="single"/>
          </w:rPr>
          <w:t>Post-reading</w:t>
        </w:r>
      </w:hyperlink>
      <w:r>
        <w:rPr>
          <w:sz w:val="24"/>
          <w:szCs w:val="24"/>
        </w:rPr>
        <w:t xml:space="preserve"> component. </w:t>
      </w:r>
      <w:r>
        <w:rPr>
          <w:b/>
          <w:sz w:val="24"/>
          <w:szCs w:val="24"/>
        </w:rPr>
        <w:t xml:space="preserve">The rubric for Written Presentation for Module G CANNOT </w:t>
      </w:r>
      <w:proofErr w:type="gramStart"/>
      <w:r>
        <w:rPr>
          <w:b/>
          <w:sz w:val="24"/>
          <w:szCs w:val="24"/>
        </w:rPr>
        <w:t>be</w:t>
      </w:r>
      <w:proofErr w:type="gramEnd"/>
      <w:r>
        <w:rPr>
          <w:b/>
          <w:sz w:val="24"/>
          <w:szCs w:val="24"/>
        </w:rPr>
        <w:t xml:space="preserve"> used, as it is not appropriate.  </w:t>
      </w:r>
      <w:r>
        <w:rPr>
          <w:sz w:val="24"/>
          <w:szCs w:val="24"/>
        </w:rPr>
        <w:t xml:space="preserve">There are also rubrics in the </w:t>
      </w:r>
      <w:r>
        <w:rPr>
          <w:i/>
          <w:sz w:val="24"/>
          <w:szCs w:val="24"/>
        </w:rPr>
        <w:t>Handbook</w:t>
      </w:r>
      <w:r>
        <w:rPr>
          <w:sz w:val="24"/>
          <w:szCs w:val="24"/>
        </w:rPr>
        <w:t xml:space="preserve"> for marking the Summative Assessment.  Use of these rubrics is crucial to ensure accurate grading.</w:t>
      </w:r>
    </w:p>
    <w:p w:rsidR="00551BD4" w:rsidRDefault="000E1C28" w:rsidP="000E1C28">
      <w:pPr>
        <w:bidi w:val="0"/>
        <w:spacing w:after="200" w:line="276" w:lineRule="auto"/>
      </w:pPr>
      <w:r>
        <w:rPr>
          <w:b/>
          <w:i/>
          <w:sz w:val="24"/>
          <w:szCs w:val="24"/>
        </w:rPr>
        <w:t>Note that Bridging Text and Context cannot be used as a graded component for module B.</w:t>
      </w:r>
    </w:p>
    <w:sectPr w:rsidR="00551BD4">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782"/>
    <w:multiLevelType w:val="multilevel"/>
    <w:tmpl w:val="C54A52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50E3522"/>
    <w:multiLevelType w:val="multilevel"/>
    <w:tmpl w:val="461854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9874C2E"/>
    <w:multiLevelType w:val="multilevel"/>
    <w:tmpl w:val="82C8DB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51BD4"/>
    <w:rsid w:val="000E1C28"/>
    <w:rsid w:val="00551BD4"/>
    <w:rsid w:val="00E43D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5" w:type="dxa"/>
        <w:left w:w="15" w:type="dxa"/>
        <w:bottom w:w="15" w:type="dxa"/>
        <w:right w:w="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5" w:type="dxa"/>
        <w:left w:w="15" w:type="dxa"/>
        <w:bottom w:w="15" w:type="dxa"/>
        <w:right w:w="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lc.cet.ac.il/ShowItem.aspx?ItemID=4da2d440-c871-42f6-bf98-541797c1d235&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lc.cet.ac.il/ShowItem.aspx?ItemID=fd326500-77aa-472a-a553-25b3739015fa&amp;lan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3984</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Matnasim</dc:creator>
  <cp:lastModifiedBy>Matnasim</cp:lastModifiedBy>
  <cp:revision>2</cp:revision>
  <dcterms:created xsi:type="dcterms:W3CDTF">2018-08-26T04:30:00Z</dcterms:created>
  <dcterms:modified xsi:type="dcterms:W3CDTF">2018-08-26T04:30:00Z</dcterms:modified>
</cp:coreProperties>
</file>