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9D" w:rsidRPr="00CE699D" w:rsidRDefault="00CE699D" w:rsidP="00CE699D">
      <w:pPr>
        <w:spacing w:line="256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r>
        <w:rPr>
          <w:rFonts w:ascii="David" w:eastAsia="Calibri" w:hAnsi="David" w:cs="David"/>
          <w:b/>
          <w:bCs/>
          <w:sz w:val="28"/>
          <w:szCs w:val="28"/>
          <w:rtl/>
        </w:rPr>
        <w:t>רציונל וסילב</w:t>
      </w:r>
      <w:bookmarkStart w:id="0" w:name="_GoBack"/>
      <w:bookmarkEnd w:id="0"/>
      <w:r>
        <w:rPr>
          <w:rFonts w:ascii="David" w:eastAsia="Calibri" w:hAnsi="David" w:cs="David"/>
          <w:b/>
          <w:bCs/>
          <w:sz w:val="28"/>
          <w:szCs w:val="28"/>
          <w:rtl/>
        </w:rPr>
        <w:t xml:space="preserve">וס גמרא – מסכת </w:t>
      </w:r>
      <w:proofErr w:type="spellStart"/>
      <w:r>
        <w:rPr>
          <w:rFonts w:ascii="David" w:eastAsia="Calibri" w:hAnsi="David" w:cs="David" w:hint="cs"/>
          <w:b/>
          <w:bCs/>
          <w:sz w:val="28"/>
          <w:szCs w:val="28"/>
          <w:rtl/>
        </w:rPr>
        <w:t>קדושין</w:t>
      </w:r>
      <w:proofErr w:type="spellEnd"/>
    </w:p>
    <w:p w:rsidR="00CE699D" w:rsidRPr="00CE699D" w:rsidRDefault="00CE699D" w:rsidP="00CE699D">
      <w:pPr>
        <w:spacing w:line="256" w:lineRule="auto"/>
        <w:jc w:val="center"/>
        <w:rPr>
          <w:rFonts w:ascii="David" w:eastAsia="Calibri" w:hAnsi="David" w:cs="David"/>
          <w:b/>
          <w:bCs/>
          <w:sz w:val="28"/>
          <w:szCs w:val="28"/>
        </w:rPr>
      </w:pPr>
      <w:r w:rsidRPr="00CE699D">
        <w:rPr>
          <w:rFonts w:ascii="David" w:eastAsia="Calibri" w:hAnsi="David" w:cs="David"/>
          <w:b/>
          <w:bCs/>
          <w:sz w:val="28"/>
          <w:szCs w:val="28"/>
          <w:rtl/>
        </w:rPr>
        <w:t>12 שנות לימוד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CE699D">
        <w:rPr>
          <w:rFonts w:ascii="David" w:eastAsia="Calibri" w:hAnsi="David" w:cs="David"/>
          <w:sz w:val="24"/>
          <w:szCs w:val="24"/>
          <w:rtl/>
        </w:rPr>
        <w:t xml:space="preserve">תכנית הלימודים בתושב"ע לתלמידי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פרוייקט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היל"ה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 מורכבת מיחידות לימוד בהלכה, לקט מצוות מתוך ספר החינוך, וגמרא.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>המטרה בלימוד הלכה, ולקט מצוות היא ידיעת ההלכות והמצוות טעמיהם ודיניהם.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 xml:space="preserve">אך מטרת לימוד הגמרא שונה, מלבד הדינים ופסקי ההלכות המובאות בה, וכן שאר הידיעות התורניות המצויות במסכתות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הש"ס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, מתייחדת הגמרא בצורתה משאר ספרי הקודש, בכך שהיא מביאה את המשא ומתן הלימודי בדיני התורה בדרך של קושיות ותירוצים,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הוה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אמינא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ומסקנא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>, ראיות ודחיות, מחלוקות תנאים ואמוראים, טעמים ונפקא מינה, ומדוע האחד לא מסכים עם החולק עליו.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 xml:space="preserve"> המבנה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היחודי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 של הגמרא דורש מן הלומד מחשבה, התבוננות, הפעלת שיקול דעת, וגירוי מחשבתי, כדי להבין את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הסוגיא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>.</w:t>
      </w:r>
      <w:r w:rsidRPr="00CE699D">
        <w:rPr>
          <w:rFonts w:ascii="David" w:eastAsia="Calibri" w:hAnsi="David" w:cs="David"/>
          <w:b/>
          <w:bCs/>
          <w:sz w:val="28"/>
          <w:szCs w:val="28"/>
          <w:rtl/>
        </w:rPr>
        <w:t xml:space="preserve">  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CE699D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מטרות ומיומנויות: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>התלמיד יכיר את דרכי לימוד הגמרא, וצורת החשיבה והעיון בתלמוד, כדי שיוכל להשתמש בידיעותיו ללימוד סוגיות חדשות.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>כגון:</w:t>
      </w:r>
    </w:p>
    <w:p w:rsidR="00CE699D" w:rsidRPr="00CE699D" w:rsidRDefault="00CE699D" w:rsidP="00CE699D">
      <w:pPr>
        <w:numPr>
          <w:ilvl w:val="0"/>
          <w:numId w:val="2"/>
        </w:numPr>
        <w:tabs>
          <w:tab w:val="left" w:pos="416"/>
        </w:tabs>
        <w:spacing w:line="256" w:lineRule="auto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לשון חכמים :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 xml:space="preserve"> ביאורי מילים, פיסוק נכון, כתב רש"י, מושגים, ראשי תיבות</w:t>
      </w:r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</w:t>
      </w:r>
      <w:r w:rsidRPr="00CE699D">
        <w:rPr>
          <w:rFonts w:ascii="David" w:eastAsia="Calibri" w:hAnsi="David" w:cs="David"/>
          <w:sz w:val="24"/>
          <w:szCs w:val="24"/>
          <w:rtl/>
        </w:rPr>
        <w:t>.</w:t>
      </w:r>
    </w:p>
    <w:p w:rsidR="00CE699D" w:rsidRPr="00CE699D" w:rsidRDefault="00CE699D" w:rsidP="00CE699D">
      <w:pPr>
        <w:numPr>
          <w:ilvl w:val="0"/>
          <w:numId w:val="2"/>
        </w:numPr>
        <w:tabs>
          <w:tab w:val="left" w:pos="416"/>
        </w:tabs>
        <w:spacing w:line="256" w:lineRule="auto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מהלך </w:t>
      </w:r>
      <w:proofErr w:type="spellStart"/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סוגיא</w:t>
      </w:r>
      <w:proofErr w:type="spellEnd"/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 xml:space="preserve">פיסוק נכון, יצירת כותרת, חלוקה לשלבים, זיהוי שלב (קושיא, ראיה, תרוץ) </w:t>
      </w:r>
    </w:p>
    <w:p w:rsidR="00CE699D" w:rsidRPr="00CE699D" w:rsidRDefault="00CE699D" w:rsidP="00CE699D">
      <w:pPr>
        <w:numPr>
          <w:ilvl w:val="0"/>
          <w:numId w:val="2"/>
        </w:numPr>
        <w:tabs>
          <w:tab w:val="left" w:pos="416"/>
        </w:tabs>
        <w:spacing w:line="256" w:lineRule="auto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הבנה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sz w:val="24"/>
          <w:szCs w:val="24"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>הבנת רצף המהלך, והקשר לשלב הקודם.</w:t>
      </w:r>
    </w:p>
    <w:p w:rsidR="00CE699D" w:rsidRPr="00CE699D" w:rsidRDefault="00CE699D" w:rsidP="00CE699D">
      <w:pPr>
        <w:numPr>
          <w:ilvl w:val="0"/>
          <w:numId w:val="2"/>
        </w:numPr>
        <w:tabs>
          <w:tab w:val="left" w:pos="416"/>
        </w:tabs>
        <w:spacing w:line="256" w:lineRule="auto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חשיבה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sz w:val="24"/>
          <w:szCs w:val="24"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 xml:space="preserve">הבנת המקרה, צדדים </w:t>
      </w:r>
      <w:proofErr w:type="spellStart"/>
      <w:r w:rsidRPr="00CE699D">
        <w:rPr>
          <w:rFonts w:ascii="David" w:eastAsia="Calibri" w:hAnsi="David" w:cs="David"/>
          <w:sz w:val="24"/>
          <w:szCs w:val="24"/>
          <w:rtl/>
        </w:rPr>
        <w:t>וסברא</w:t>
      </w:r>
      <w:proofErr w:type="spellEnd"/>
      <w:r w:rsidRPr="00CE699D">
        <w:rPr>
          <w:rFonts w:ascii="David" w:eastAsia="Calibri" w:hAnsi="David" w:cs="David"/>
          <w:sz w:val="24"/>
          <w:szCs w:val="24"/>
          <w:rtl/>
        </w:rPr>
        <w:t xml:space="preserve">,  </w:t>
      </w:r>
    </w:p>
    <w:p w:rsidR="00CE699D" w:rsidRPr="00CE699D" w:rsidRDefault="00CE699D" w:rsidP="00CE699D">
      <w:pPr>
        <w:numPr>
          <w:ilvl w:val="0"/>
          <w:numId w:val="2"/>
        </w:numPr>
        <w:tabs>
          <w:tab w:val="left" w:pos="416"/>
        </w:tabs>
        <w:spacing w:line="256" w:lineRule="auto"/>
        <w:contextualSpacing/>
        <w:rPr>
          <w:rFonts w:ascii="David" w:eastAsia="Calibri" w:hAnsi="David" w:cs="David"/>
          <w:b/>
          <w:bCs/>
          <w:sz w:val="24"/>
          <w:szCs w:val="24"/>
          <w:u w:val="single"/>
        </w:rPr>
      </w:pPr>
      <w:r w:rsidRPr="00CE699D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סיכום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>סכום הדינים, טעמים, מחלוקות.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</w:p>
    <w:p w:rsidR="004D7EC5" w:rsidRDefault="004D7EC5" w:rsidP="00CE699D">
      <w:pPr>
        <w:pStyle w:val="a3"/>
        <w:spacing w:after="0"/>
        <w:ind w:left="0"/>
        <w:jc w:val="center"/>
        <w:rPr>
          <w:rFonts w:ascii="Arial" w:hAnsi="Arial" w:cs="David"/>
          <w:b/>
          <w:bCs/>
          <w:sz w:val="28"/>
          <w:szCs w:val="28"/>
          <w:rtl/>
        </w:rPr>
      </w:pPr>
      <w:r w:rsidRPr="00CE699D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פרק </w:t>
      </w:r>
      <w:r w:rsidRPr="00CE699D">
        <w:rPr>
          <w:rFonts w:ascii="Arial" w:hAnsi="Arial" w:cs="David" w:hint="cs"/>
          <w:b/>
          <w:bCs/>
          <w:sz w:val="28"/>
          <w:szCs w:val="28"/>
          <w:u w:val="single"/>
          <w:rtl/>
        </w:rPr>
        <w:t>"האיש מקדש"</w:t>
      </w:r>
    </w:p>
    <w:p w:rsidR="00CE699D" w:rsidRPr="00CE699D" w:rsidRDefault="00CE699D" w:rsidP="00CE699D">
      <w:pPr>
        <w:pStyle w:val="a3"/>
        <w:spacing w:after="0"/>
        <w:ind w:left="0"/>
        <w:jc w:val="center"/>
        <w:rPr>
          <w:rFonts w:ascii="Arial" w:hAnsi="Arial" w:cs="David"/>
          <w:b/>
          <w:bCs/>
          <w:sz w:val="28"/>
          <w:szCs w:val="28"/>
          <w:rtl/>
        </w:rPr>
      </w:pPr>
    </w:p>
    <w:p w:rsidR="004D7EC5" w:rsidRPr="00CE699D" w:rsidRDefault="00CE699D" w:rsidP="004D7EC5">
      <w:pPr>
        <w:pStyle w:val="a3"/>
        <w:spacing w:after="0"/>
        <w:ind w:left="0"/>
        <w:rPr>
          <w:rFonts w:ascii="Arial" w:hAnsi="Arial" w:cs="David"/>
          <w:sz w:val="28"/>
          <w:szCs w:val="28"/>
          <w:u w:val="single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                           </w:t>
      </w:r>
      <w:r w:rsidR="004D7EC5" w:rsidRPr="00CE699D">
        <w:rPr>
          <w:rFonts w:ascii="Arial" w:hAnsi="Arial" w:cs="David" w:hint="cs"/>
          <w:sz w:val="28"/>
          <w:szCs w:val="28"/>
          <w:u w:val="single"/>
          <w:rtl/>
        </w:rPr>
        <w:t xml:space="preserve">מתחילת הפרק </w:t>
      </w:r>
      <w:r w:rsidR="004D7EC5" w:rsidRPr="00CE699D">
        <w:rPr>
          <w:rFonts w:ascii="Arial" w:hAnsi="Arial" w:cs="David" w:hint="cs"/>
          <w:sz w:val="28"/>
          <w:szCs w:val="28"/>
          <w:u w:val="single"/>
          <w:rtl/>
        </w:rPr>
        <w:t xml:space="preserve">דף </w:t>
      </w:r>
      <w:proofErr w:type="spellStart"/>
      <w:r w:rsidR="004D7EC5" w:rsidRPr="00CE699D">
        <w:rPr>
          <w:rFonts w:ascii="Arial" w:hAnsi="Arial" w:cs="David" w:hint="cs"/>
          <w:sz w:val="28"/>
          <w:szCs w:val="28"/>
          <w:u w:val="single"/>
          <w:rtl/>
        </w:rPr>
        <w:t>מא</w:t>
      </w:r>
      <w:proofErr w:type="spellEnd"/>
      <w:r w:rsidR="004D7EC5" w:rsidRPr="00CE699D">
        <w:rPr>
          <w:rFonts w:ascii="Arial" w:hAnsi="Arial" w:cs="David" w:hint="cs"/>
          <w:sz w:val="28"/>
          <w:szCs w:val="28"/>
          <w:u w:val="single"/>
          <w:rtl/>
        </w:rPr>
        <w:t xml:space="preserve"> עמוד א' משנה -</w:t>
      </w:r>
      <w:r w:rsidRPr="00CE699D">
        <w:rPr>
          <w:rFonts w:ascii="Arial" w:hAnsi="Arial" w:cs="David" w:hint="cs"/>
          <w:sz w:val="28"/>
          <w:szCs w:val="28"/>
          <w:u w:val="single"/>
          <w:rtl/>
        </w:rPr>
        <w:t xml:space="preserve"> דף </w:t>
      </w:r>
      <w:proofErr w:type="spellStart"/>
      <w:r w:rsidRPr="00CE699D">
        <w:rPr>
          <w:rFonts w:ascii="Arial" w:hAnsi="Arial" w:cs="David" w:hint="cs"/>
          <w:sz w:val="28"/>
          <w:szCs w:val="28"/>
          <w:u w:val="single"/>
          <w:rtl/>
        </w:rPr>
        <w:t>מב</w:t>
      </w:r>
      <w:proofErr w:type="spellEnd"/>
      <w:r w:rsidRPr="00CE699D">
        <w:rPr>
          <w:rFonts w:ascii="Arial" w:hAnsi="Arial" w:cs="David" w:hint="cs"/>
          <w:sz w:val="28"/>
          <w:szCs w:val="28"/>
          <w:u w:val="single"/>
          <w:rtl/>
        </w:rPr>
        <w:t xml:space="preserve"> ע"ב </w:t>
      </w:r>
      <w:proofErr w:type="spellStart"/>
      <w:r w:rsidRPr="00CE699D">
        <w:rPr>
          <w:rFonts w:ascii="Arial" w:hAnsi="Arial" w:cs="David" w:hint="cs"/>
          <w:sz w:val="28"/>
          <w:szCs w:val="28"/>
          <w:u w:val="single"/>
          <w:rtl/>
        </w:rPr>
        <w:t>ונילף</w:t>
      </w:r>
      <w:proofErr w:type="spellEnd"/>
      <w:r w:rsidRPr="00CE699D">
        <w:rPr>
          <w:rFonts w:ascii="Arial" w:hAnsi="Arial" w:cs="David" w:hint="cs"/>
          <w:sz w:val="28"/>
          <w:szCs w:val="28"/>
          <w:u w:val="single"/>
          <w:rtl/>
        </w:rPr>
        <w:t xml:space="preserve"> מינה</w:t>
      </w:r>
    </w:p>
    <w:p w:rsidR="004D7EC5" w:rsidRDefault="004D7EC5" w:rsidP="004D7EC5">
      <w:pPr>
        <w:pStyle w:val="a3"/>
        <w:spacing w:after="0"/>
        <w:ind w:left="0"/>
        <w:rPr>
          <w:rFonts w:ascii="Arial" w:hAnsi="Arial" w:cs="David"/>
          <w:sz w:val="28"/>
          <w:szCs w:val="28"/>
          <w:rtl/>
        </w:rPr>
      </w:pPr>
    </w:p>
    <w:p w:rsidR="004D7EC5" w:rsidRDefault="004D7EC5" w:rsidP="004D7EC5">
      <w:pPr>
        <w:pStyle w:val="a3"/>
        <w:numPr>
          <w:ilvl w:val="0"/>
          <w:numId w:val="1"/>
        </w:numPr>
        <w:spacing w:after="0"/>
        <w:rPr>
          <w:rFonts w:ascii="Arial" w:hAnsi="Arial" w:cs="David" w:hint="cs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סוגיית: </w:t>
      </w:r>
      <w:r w:rsidRPr="00CA09FB">
        <w:rPr>
          <w:rFonts w:ascii="Arial" w:hAnsi="Arial" w:cs="David" w:hint="cs"/>
          <w:b/>
          <w:bCs/>
          <w:sz w:val="28"/>
          <w:szCs w:val="28"/>
          <w:rtl/>
        </w:rPr>
        <w:t xml:space="preserve">קידושין ע"י שליח ודין מצווה בו יותר </w:t>
      </w:r>
      <w:proofErr w:type="spellStart"/>
      <w:r w:rsidRPr="00CA09FB">
        <w:rPr>
          <w:rFonts w:ascii="Arial" w:hAnsi="Arial" w:cs="David" w:hint="cs"/>
          <w:b/>
          <w:bCs/>
          <w:sz w:val="28"/>
          <w:szCs w:val="28"/>
          <w:rtl/>
        </w:rPr>
        <w:t>מבשלוחו</w:t>
      </w:r>
      <w:proofErr w:type="spellEnd"/>
      <w:r>
        <w:rPr>
          <w:rFonts w:ascii="Arial" w:hAnsi="Arial" w:cs="David" w:hint="cs"/>
          <w:sz w:val="28"/>
          <w:szCs w:val="28"/>
          <w:rtl/>
        </w:rPr>
        <w:t>.</w:t>
      </w:r>
    </w:p>
    <w:p w:rsidR="004D7EC5" w:rsidRDefault="004D7EC5" w:rsidP="004D7EC5">
      <w:pPr>
        <w:pStyle w:val="a3"/>
        <w:spacing w:after="0"/>
        <w:ind w:left="36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דף מ"א ע"א משנה עד האיש מקדש את בתו כשהיא נערה</w:t>
      </w:r>
    </w:p>
    <w:p w:rsidR="004D7EC5" w:rsidRDefault="004D7EC5" w:rsidP="004D7EC5">
      <w:pPr>
        <w:pStyle w:val="a3"/>
        <w:numPr>
          <w:ilvl w:val="0"/>
          <w:numId w:val="1"/>
        </w:numPr>
        <w:spacing w:after="0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סוגיית: </w:t>
      </w:r>
      <w:r w:rsidRPr="00CA09FB">
        <w:rPr>
          <w:rFonts w:ascii="Arial" w:hAnsi="Arial" w:cs="David" w:hint="cs"/>
          <w:b/>
          <w:bCs/>
          <w:sz w:val="28"/>
          <w:szCs w:val="28"/>
          <w:rtl/>
        </w:rPr>
        <w:t>קידושי קטנה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CA09FB">
        <w:rPr>
          <w:rFonts w:ascii="Arial" w:hAnsi="Arial" w:cs="David" w:hint="cs"/>
          <w:sz w:val="28"/>
          <w:szCs w:val="28"/>
          <w:rtl/>
        </w:rPr>
        <w:t>(</w:t>
      </w:r>
      <w:proofErr w:type="spellStart"/>
      <w:r w:rsidRPr="00CA09FB">
        <w:rPr>
          <w:rFonts w:ascii="Arial" w:hAnsi="Arial" w:cs="David" w:hint="cs"/>
          <w:sz w:val="28"/>
          <w:szCs w:val="28"/>
          <w:rtl/>
        </w:rPr>
        <w:t>תוס</w:t>
      </w:r>
      <w:proofErr w:type="spellEnd"/>
      <w:r w:rsidRPr="00CA09FB">
        <w:rPr>
          <w:rFonts w:ascii="Arial" w:hAnsi="Arial" w:cs="David" w:hint="cs"/>
          <w:sz w:val="28"/>
          <w:szCs w:val="28"/>
          <w:rtl/>
        </w:rPr>
        <w:t>' ד"ה אסור לאדם שיקדש)</w:t>
      </w:r>
    </w:p>
    <w:p w:rsidR="004D7EC5" w:rsidRDefault="004D7EC5" w:rsidP="004D7EC5">
      <w:pPr>
        <w:pStyle w:val="a3"/>
        <w:spacing w:after="0"/>
        <w:ind w:left="360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מ"א ע"א עד שליחות </w:t>
      </w:r>
      <w:proofErr w:type="spellStart"/>
      <w:r>
        <w:rPr>
          <w:rFonts w:ascii="Arial" w:hAnsi="Arial" w:cs="David" w:hint="cs"/>
          <w:sz w:val="28"/>
          <w:szCs w:val="28"/>
          <w:rtl/>
        </w:rPr>
        <w:t>מנלן</w:t>
      </w:r>
      <w:proofErr w:type="spellEnd"/>
    </w:p>
    <w:p w:rsidR="004D7EC5" w:rsidRDefault="004D7EC5" w:rsidP="004D7EC5">
      <w:pPr>
        <w:pStyle w:val="a3"/>
        <w:numPr>
          <w:ilvl w:val="0"/>
          <w:numId w:val="1"/>
        </w:numPr>
        <w:spacing w:after="0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סוגיית: </w:t>
      </w:r>
      <w:r>
        <w:rPr>
          <w:rFonts w:ascii="Arial" w:hAnsi="Arial" w:cs="David" w:hint="cs"/>
          <w:b/>
          <w:bCs/>
          <w:sz w:val="28"/>
          <w:szCs w:val="28"/>
          <w:rtl/>
        </w:rPr>
        <w:t>"</w:t>
      </w:r>
      <w:r w:rsidRPr="00CA09FB">
        <w:rPr>
          <w:rFonts w:ascii="Arial" w:hAnsi="Arial" w:cs="David" w:hint="cs"/>
          <w:b/>
          <w:bCs/>
          <w:sz w:val="28"/>
          <w:szCs w:val="28"/>
          <w:rtl/>
        </w:rPr>
        <w:t>שליחות</w:t>
      </w:r>
      <w:r>
        <w:rPr>
          <w:rFonts w:ascii="Arial" w:hAnsi="Arial" w:cs="David" w:hint="cs"/>
          <w:b/>
          <w:bCs/>
          <w:sz w:val="28"/>
          <w:szCs w:val="28"/>
          <w:rtl/>
        </w:rPr>
        <w:t>"</w:t>
      </w:r>
      <w:r w:rsidRPr="00CA09FB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CA09FB">
        <w:rPr>
          <w:rFonts w:ascii="Arial" w:hAnsi="Arial" w:cs="David"/>
          <w:b/>
          <w:bCs/>
          <w:sz w:val="28"/>
          <w:szCs w:val="28"/>
          <w:rtl/>
        </w:rPr>
        <w:t>–</w:t>
      </w:r>
      <w:r w:rsidRPr="00CA09FB">
        <w:rPr>
          <w:rFonts w:ascii="Arial" w:hAnsi="Arial" w:cs="David" w:hint="cs"/>
          <w:b/>
          <w:bCs/>
          <w:sz w:val="28"/>
          <w:szCs w:val="28"/>
          <w:rtl/>
        </w:rPr>
        <w:t xml:space="preserve"> המקור לדיני שליחות בקידושין גירושין תרומה וקדשים.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:rsidR="004D7EC5" w:rsidRDefault="004D7EC5" w:rsidP="004D7EC5">
      <w:pPr>
        <w:pStyle w:val="a3"/>
        <w:spacing w:after="0"/>
        <w:ind w:left="360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מ"א ע"א שליחות </w:t>
      </w:r>
      <w:proofErr w:type="spellStart"/>
      <w:r>
        <w:rPr>
          <w:rFonts w:ascii="Arial" w:hAnsi="Arial" w:cs="David" w:hint="cs"/>
          <w:sz w:val="28"/>
          <w:szCs w:val="28"/>
          <w:rtl/>
        </w:rPr>
        <w:t>מנלן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עד דף מ"ב ע"א מנין ליתומים שבאו לחלוק בנכסי אביהם.</w:t>
      </w:r>
    </w:p>
    <w:p w:rsidR="004D7EC5" w:rsidRDefault="004D7EC5" w:rsidP="004D7EC5">
      <w:pPr>
        <w:pStyle w:val="a3"/>
        <w:numPr>
          <w:ilvl w:val="0"/>
          <w:numId w:val="1"/>
        </w:numPr>
        <w:spacing w:after="0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סוגיית: </w:t>
      </w:r>
      <w:r w:rsidRPr="00B920D1">
        <w:rPr>
          <w:rFonts w:ascii="Arial" w:hAnsi="Arial" w:cs="David" w:hint="cs"/>
          <w:b/>
          <w:bCs/>
          <w:sz w:val="28"/>
          <w:szCs w:val="28"/>
          <w:rtl/>
        </w:rPr>
        <w:t>יתומים שבאו לחלוק בנכסי אביהם מעמידים להם אפוטרופוס</w:t>
      </w:r>
    </w:p>
    <w:p w:rsidR="004D7EC5" w:rsidRPr="00CA09FB" w:rsidRDefault="004D7EC5" w:rsidP="004D7EC5">
      <w:pPr>
        <w:pStyle w:val="a3"/>
        <w:spacing w:after="0"/>
        <w:ind w:left="360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מ"א ע"א </w:t>
      </w:r>
      <w:proofErr w:type="spellStart"/>
      <w:r>
        <w:rPr>
          <w:rFonts w:ascii="Arial" w:hAnsi="Arial" w:cs="David" w:hint="cs"/>
          <w:sz w:val="28"/>
          <w:szCs w:val="28"/>
          <w:rtl/>
        </w:rPr>
        <w:t>א"ר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נחמן אמר שמואל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>מ"א ע"ב אמר רב נחמן האחים שחלקו</w:t>
      </w:r>
    </w:p>
    <w:p w:rsidR="004D7EC5" w:rsidRDefault="004D7EC5" w:rsidP="004D7EC5">
      <w:pPr>
        <w:pStyle w:val="a3"/>
        <w:numPr>
          <w:ilvl w:val="0"/>
          <w:numId w:val="1"/>
        </w:numPr>
        <w:spacing w:after="0"/>
        <w:rPr>
          <w:rFonts w:ascii="Arial" w:hAnsi="Arial" w:cs="David" w:hint="cs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סוגיית: </w:t>
      </w:r>
      <w:r w:rsidRPr="00B920D1">
        <w:rPr>
          <w:rFonts w:ascii="Arial" w:hAnsi="Arial" w:cs="David" w:hint="cs"/>
          <w:b/>
          <w:bCs/>
          <w:sz w:val="28"/>
          <w:szCs w:val="28"/>
          <w:rtl/>
        </w:rPr>
        <w:t>דיני אונאה במקח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:rsidR="004D7EC5" w:rsidRDefault="004D7EC5" w:rsidP="004D7EC5">
      <w:pPr>
        <w:pStyle w:val="a3"/>
        <w:spacing w:after="0"/>
        <w:ind w:left="360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מ"א ע"א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עד והא </w:t>
      </w:r>
      <w:proofErr w:type="spellStart"/>
      <w:r>
        <w:rPr>
          <w:rFonts w:ascii="Arial" w:hAnsi="Arial" w:cs="David" w:hint="cs"/>
          <w:sz w:val="28"/>
          <w:szCs w:val="28"/>
          <w:rtl/>
        </w:rPr>
        <w:t>דתנן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השולח את הבעירה</w:t>
      </w:r>
    </w:p>
    <w:p w:rsidR="00CE699D" w:rsidRPr="00CE699D" w:rsidRDefault="004D7EC5" w:rsidP="00CE699D">
      <w:pPr>
        <w:pStyle w:val="a3"/>
        <w:numPr>
          <w:ilvl w:val="0"/>
          <w:numId w:val="1"/>
        </w:numPr>
        <w:tabs>
          <w:tab w:val="left" w:pos="416"/>
        </w:tabs>
        <w:spacing w:line="25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E699D">
        <w:rPr>
          <w:rFonts w:ascii="Arial" w:hAnsi="Arial" w:cs="David" w:hint="cs"/>
          <w:sz w:val="28"/>
          <w:szCs w:val="28"/>
          <w:rtl/>
        </w:rPr>
        <w:t xml:space="preserve">סוגיית: </w:t>
      </w:r>
      <w:r w:rsidRPr="00CE699D">
        <w:rPr>
          <w:rFonts w:ascii="Arial" w:hAnsi="Arial" w:cs="David" w:hint="cs"/>
          <w:b/>
          <w:bCs/>
          <w:sz w:val="28"/>
          <w:szCs w:val="28"/>
          <w:rtl/>
        </w:rPr>
        <w:t>שליחות לדבר עבירה</w:t>
      </w:r>
      <w:r w:rsidR="00CE699D" w:rsidRPr="00CE699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CE699D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מבנה הבחינה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CE699D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 xml:space="preserve">חלק א' </w:t>
      </w:r>
    </w:p>
    <w:p w:rsidR="00CE699D" w:rsidRPr="00CE699D" w:rsidRDefault="00CE699D" w:rsidP="00B45EC8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  <w:r w:rsidRPr="00CE699D">
        <w:rPr>
          <w:rFonts w:ascii="David" w:eastAsia="Calibri" w:hAnsi="David" w:cs="David"/>
          <w:sz w:val="24"/>
          <w:szCs w:val="24"/>
          <w:rtl/>
        </w:rPr>
        <w:t xml:space="preserve"> מושגי יסוד המופיעים בדפים אלו</w:t>
      </w:r>
      <w:r>
        <w:rPr>
          <w:rFonts w:ascii="David" w:eastAsia="Calibri" w:hAnsi="David" w:cs="David" w:hint="cs"/>
          <w:sz w:val="24"/>
          <w:szCs w:val="24"/>
          <w:rtl/>
        </w:rPr>
        <w:t xml:space="preserve"> -</w:t>
      </w:r>
      <w:r w:rsidR="00B45EC8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CE699D">
        <w:rPr>
          <w:rFonts w:ascii="David" w:eastAsia="Calibri" w:hAnsi="David" w:cs="David"/>
          <w:sz w:val="24"/>
          <w:szCs w:val="24"/>
          <w:rtl/>
        </w:rPr>
        <w:t>40 נקודות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</w:p>
    <w:p w:rsidR="00CE699D" w:rsidRPr="00CE699D" w:rsidRDefault="00CE699D" w:rsidP="00CE699D">
      <w:pPr>
        <w:tabs>
          <w:tab w:val="left" w:pos="416"/>
        </w:tabs>
        <w:spacing w:line="256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CE699D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חלק ב'</w:t>
      </w:r>
    </w:p>
    <w:p w:rsidR="00720DC3" w:rsidRDefault="00B45EC8" w:rsidP="00B45EC8">
      <w:pPr>
        <w:tabs>
          <w:tab w:val="left" w:pos="416"/>
        </w:tabs>
        <w:spacing w:line="256" w:lineRule="auto"/>
        <w:ind w:left="720"/>
        <w:contextualSpacing/>
      </w:pPr>
      <w:r>
        <w:rPr>
          <w:rFonts w:ascii="David" w:eastAsia="Calibri" w:hAnsi="David" w:cs="David" w:hint="cs"/>
          <w:sz w:val="24"/>
          <w:szCs w:val="24"/>
          <w:rtl/>
        </w:rPr>
        <w:t xml:space="preserve"> שאלות עיוניות, והבנת </w:t>
      </w:r>
      <w:proofErr w:type="spellStart"/>
      <w:r>
        <w:rPr>
          <w:rFonts w:ascii="David" w:eastAsia="Calibri" w:hAnsi="David" w:cs="David" w:hint="cs"/>
          <w:sz w:val="24"/>
          <w:szCs w:val="24"/>
          <w:rtl/>
        </w:rPr>
        <w:t>הסוגיא</w:t>
      </w:r>
      <w:proofErr w:type="spellEnd"/>
      <w:r>
        <w:rPr>
          <w:rFonts w:ascii="David" w:eastAsia="Calibri" w:hAnsi="David" w:cs="David" w:hint="cs"/>
          <w:sz w:val="24"/>
          <w:szCs w:val="24"/>
          <w:rtl/>
        </w:rPr>
        <w:t xml:space="preserve">      -</w:t>
      </w:r>
      <w:r w:rsidR="00CE699D" w:rsidRPr="00CE699D">
        <w:rPr>
          <w:rFonts w:ascii="David" w:eastAsia="Calibri" w:hAnsi="David" w:cs="David"/>
          <w:sz w:val="24"/>
          <w:szCs w:val="24"/>
          <w:rtl/>
        </w:rPr>
        <w:t>60 נקודות</w:t>
      </w:r>
    </w:p>
    <w:sectPr w:rsidR="00720DC3" w:rsidSect="00CE699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F17"/>
    <w:multiLevelType w:val="hybridMultilevel"/>
    <w:tmpl w:val="DDF4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AA0"/>
    <w:multiLevelType w:val="hybridMultilevel"/>
    <w:tmpl w:val="03EE0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C5"/>
    <w:rsid w:val="004D7EC5"/>
    <w:rsid w:val="00673389"/>
    <w:rsid w:val="00B45EC8"/>
    <w:rsid w:val="00CE699D"/>
    <w:rsid w:val="00D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F92A-32BF-4DF9-A691-A509244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C5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2019-12-22T22:23:00Z</dcterms:created>
  <dcterms:modified xsi:type="dcterms:W3CDTF">2019-12-22T22:48:00Z</dcterms:modified>
</cp:coreProperties>
</file>