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51A" w:rsidRDefault="007614D8" w:rsidP="007614D8">
      <w:pPr>
        <w:jc w:val="center"/>
        <w:rPr>
          <w:rFonts w:asciiTheme="majorBidi" w:hAnsiTheme="majorBidi" w:cstheme="majorBidi"/>
          <w:b/>
          <w:bCs/>
          <w:sz w:val="24"/>
          <w:szCs w:val="24"/>
          <w:u w:val="single"/>
          <w:rtl/>
        </w:rPr>
      </w:pPr>
      <w:bookmarkStart w:id="0" w:name="_GoBack"/>
      <w:bookmarkEnd w:id="0"/>
      <w:r w:rsidRPr="007614D8">
        <w:rPr>
          <w:rFonts w:asciiTheme="majorBidi" w:hAnsiTheme="majorBidi" w:cstheme="majorBidi" w:hint="cs"/>
          <w:b/>
          <w:bCs/>
          <w:sz w:val="24"/>
          <w:szCs w:val="24"/>
          <w:u w:val="single"/>
          <w:rtl/>
        </w:rPr>
        <w:t xml:space="preserve">תכנית להוראת השואה </w:t>
      </w:r>
      <w:r w:rsidRPr="007614D8">
        <w:rPr>
          <w:rFonts w:asciiTheme="majorBidi" w:hAnsiTheme="majorBidi" w:cstheme="majorBidi"/>
          <w:b/>
          <w:bCs/>
          <w:sz w:val="24"/>
          <w:szCs w:val="24"/>
          <w:u w:val="single"/>
          <w:rtl/>
        </w:rPr>
        <w:t>–</w:t>
      </w:r>
      <w:r w:rsidRPr="007614D8">
        <w:rPr>
          <w:rFonts w:asciiTheme="majorBidi" w:hAnsiTheme="majorBidi" w:cstheme="majorBidi" w:hint="cs"/>
          <w:b/>
          <w:bCs/>
          <w:sz w:val="24"/>
          <w:szCs w:val="24"/>
          <w:u w:val="single"/>
          <w:rtl/>
        </w:rPr>
        <w:t xml:space="preserve"> קישורים למקורות ההיסטוריים</w:t>
      </w:r>
    </w:p>
    <w:p w:rsidR="00097830" w:rsidRPr="007614D8" w:rsidRDefault="00097830" w:rsidP="007614D8">
      <w:pPr>
        <w:jc w:val="center"/>
        <w:rPr>
          <w:rFonts w:asciiTheme="majorBidi" w:hAnsiTheme="majorBidi" w:cstheme="majorBidi"/>
          <w:b/>
          <w:bCs/>
          <w:sz w:val="24"/>
          <w:szCs w:val="24"/>
          <w:u w:val="single"/>
          <w:rtl/>
        </w:rPr>
      </w:pPr>
    </w:p>
    <w:p w:rsidR="007614D8" w:rsidRDefault="007614D8" w:rsidP="007614D8">
      <w:pPr>
        <w:jc w:val="both"/>
        <w:rPr>
          <w:rFonts w:asciiTheme="majorBidi" w:hAnsiTheme="majorBidi" w:cstheme="majorBidi"/>
          <w:b/>
          <w:bCs/>
          <w:sz w:val="24"/>
          <w:szCs w:val="24"/>
          <w:rtl/>
        </w:rPr>
      </w:pPr>
      <w:r>
        <w:rPr>
          <w:rFonts w:asciiTheme="majorBidi" w:hAnsiTheme="majorBidi" w:cstheme="majorBidi" w:hint="cs"/>
          <w:b/>
          <w:bCs/>
          <w:sz w:val="24"/>
          <w:szCs w:val="24"/>
          <w:rtl/>
        </w:rPr>
        <w:t xml:space="preserve">חוקי נירנברג - </w:t>
      </w:r>
      <w:hyperlink r:id="rId5" w:history="1">
        <w:r w:rsidRPr="001964C6">
          <w:rPr>
            <w:rStyle w:val="Hyperlink"/>
            <w:rFonts w:asciiTheme="majorBidi" w:hAnsiTheme="majorBidi" w:cstheme="majorBidi"/>
            <w:b/>
            <w:bCs/>
            <w:sz w:val="24"/>
            <w:szCs w:val="24"/>
          </w:rPr>
          <w:t>http://lib.cet.ac.il/pages/item.asp?item=15524</w:t>
        </w:r>
      </w:hyperlink>
    </w:p>
    <w:p w:rsidR="007614D8" w:rsidRDefault="007614D8" w:rsidP="007614D8">
      <w:pPr>
        <w:jc w:val="both"/>
        <w:rPr>
          <w:rFonts w:asciiTheme="majorBidi" w:hAnsiTheme="majorBidi" w:cstheme="majorBidi"/>
          <w:b/>
          <w:bCs/>
          <w:sz w:val="24"/>
          <w:szCs w:val="24"/>
          <w:rtl/>
        </w:rPr>
      </w:pPr>
    </w:p>
    <w:p w:rsidR="007614D8" w:rsidRDefault="00CE5B4C" w:rsidP="00CE5B4C">
      <w:pPr>
        <w:rPr>
          <w:rFonts w:asciiTheme="majorBidi" w:hAnsiTheme="majorBidi" w:cstheme="majorBidi"/>
          <w:b/>
          <w:bCs/>
          <w:sz w:val="24"/>
          <w:szCs w:val="24"/>
          <w:rtl/>
        </w:rPr>
      </w:pPr>
      <w:r>
        <w:rPr>
          <w:rFonts w:asciiTheme="majorBidi" w:hAnsiTheme="majorBidi" w:cstheme="majorBidi" w:hint="cs"/>
          <w:b/>
          <w:bCs/>
          <w:sz w:val="24"/>
          <w:szCs w:val="24"/>
          <w:rtl/>
        </w:rPr>
        <w:t xml:space="preserve">פרעות "לילי הבדולח" </w:t>
      </w:r>
      <w:r>
        <w:rPr>
          <w:rFonts w:asciiTheme="majorBidi" w:hAnsiTheme="majorBidi" w:cstheme="majorBidi"/>
          <w:b/>
          <w:bCs/>
          <w:sz w:val="24"/>
          <w:szCs w:val="24"/>
          <w:rtl/>
        </w:rPr>
        <w:t>–</w:t>
      </w:r>
      <w:r>
        <w:rPr>
          <w:rFonts w:asciiTheme="majorBidi" w:hAnsiTheme="majorBidi" w:cstheme="majorBidi" w:hint="cs"/>
          <w:b/>
          <w:bCs/>
          <w:sz w:val="24"/>
          <w:szCs w:val="24"/>
          <w:rtl/>
        </w:rPr>
        <w:t xml:space="preserve"> הוראות </w:t>
      </w:r>
      <w:proofErr w:type="spellStart"/>
      <w:r>
        <w:rPr>
          <w:rFonts w:asciiTheme="majorBidi" w:hAnsiTheme="majorBidi" w:cstheme="majorBidi" w:hint="cs"/>
          <w:b/>
          <w:bCs/>
          <w:sz w:val="24"/>
          <w:szCs w:val="24"/>
          <w:rtl/>
        </w:rPr>
        <w:t>היידריך</w:t>
      </w:r>
      <w:proofErr w:type="spellEnd"/>
      <w:r>
        <w:rPr>
          <w:rFonts w:asciiTheme="majorBidi" w:hAnsiTheme="majorBidi" w:cstheme="majorBidi" w:hint="cs"/>
          <w:b/>
          <w:bCs/>
          <w:sz w:val="24"/>
          <w:szCs w:val="24"/>
          <w:rtl/>
        </w:rPr>
        <w:t xml:space="preserve"> - </w:t>
      </w:r>
      <w:hyperlink r:id="rId6" w:history="1">
        <w:r w:rsidRPr="001964C6">
          <w:rPr>
            <w:rStyle w:val="Hyperlink"/>
            <w:rFonts w:asciiTheme="majorBidi" w:hAnsiTheme="majorBidi" w:cstheme="majorBidi"/>
            <w:b/>
            <w:bCs/>
            <w:sz w:val="24"/>
            <w:szCs w:val="24"/>
          </w:rPr>
          <w:t>http://lib.cet.ac.il/pages/item.asp?item=15525&amp;source=781</w:t>
        </w:r>
      </w:hyperlink>
    </w:p>
    <w:p w:rsidR="00CE5B4C" w:rsidRDefault="00CE5B4C" w:rsidP="007614D8">
      <w:pPr>
        <w:jc w:val="both"/>
        <w:rPr>
          <w:rFonts w:asciiTheme="majorBidi" w:hAnsiTheme="majorBidi" w:cstheme="majorBidi"/>
          <w:b/>
          <w:bCs/>
          <w:sz w:val="24"/>
          <w:szCs w:val="24"/>
          <w:rtl/>
        </w:rPr>
      </w:pPr>
    </w:p>
    <w:p w:rsidR="00CE5B4C" w:rsidRDefault="001129E7" w:rsidP="001129E7">
      <w:pPr>
        <w:rPr>
          <w:rFonts w:asciiTheme="majorBidi" w:hAnsiTheme="majorBidi" w:cstheme="majorBidi"/>
          <w:b/>
          <w:bCs/>
          <w:sz w:val="24"/>
          <w:szCs w:val="24"/>
          <w:rtl/>
        </w:rPr>
      </w:pPr>
      <w:r>
        <w:rPr>
          <w:rFonts w:asciiTheme="majorBidi" w:hAnsiTheme="majorBidi" w:cstheme="majorBidi" w:hint="cs"/>
          <w:b/>
          <w:bCs/>
          <w:sz w:val="24"/>
          <w:szCs w:val="24"/>
          <w:rtl/>
        </w:rPr>
        <w:t xml:space="preserve">פרוטוקול ועידת ואנזה - </w:t>
      </w:r>
      <w:hyperlink r:id="rId7" w:history="1">
        <w:r w:rsidRPr="001964C6">
          <w:rPr>
            <w:rStyle w:val="Hyperlink"/>
            <w:rFonts w:asciiTheme="majorBidi" w:hAnsiTheme="majorBidi" w:cstheme="majorBidi"/>
            <w:b/>
            <w:bCs/>
            <w:sz w:val="24"/>
            <w:szCs w:val="24"/>
          </w:rPr>
          <w:t>http://www.yadvashem.org/yv/he/holocaust/about/related/docs/108.pdf</w:t>
        </w:r>
      </w:hyperlink>
    </w:p>
    <w:p w:rsidR="001129E7" w:rsidRDefault="001129E7" w:rsidP="007614D8">
      <w:pPr>
        <w:jc w:val="both"/>
        <w:rPr>
          <w:rFonts w:asciiTheme="majorBidi" w:hAnsiTheme="majorBidi" w:cstheme="majorBidi"/>
          <w:b/>
          <w:bCs/>
          <w:sz w:val="24"/>
          <w:szCs w:val="24"/>
          <w:rtl/>
        </w:rPr>
      </w:pPr>
    </w:p>
    <w:p w:rsidR="001129E7" w:rsidRDefault="00B57D94" w:rsidP="00632A92">
      <w:pPr>
        <w:rPr>
          <w:rFonts w:asciiTheme="majorBidi" w:hAnsiTheme="majorBidi" w:cstheme="majorBidi"/>
          <w:b/>
          <w:bCs/>
          <w:sz w:val="24"/>
          <w:szCs w:val="24"/>
          <w:rtl/>
        </w:rPr>
      </w:pPr>
      <w:r>
        <w:rPr>
          <w:rFonts w:asciiTheme="majorBidi" w:hAnsiTheme="majorBidi" w:cstheme="majorBidi" w:hint="cs"/>
          <w:b/>
          <w:bCs/>
          <w:sz w:val="24"/>
          <w:szCs w:val="24"/>
          <w:rtl/>
        </w:rPr>
        <w:t xml:space="preserve">נאום </w:t>
      </w:r>
      <w:proofErr w:type="spellStart"/>
      <w:r>
        <w:rPr>
          <w:rFonts w:asciiTheme="majorBidi" w:hAnsiTheme="majorBidi" w:cstheme="majorBidi" w:hint="cs"/>
          <w:b/>
          <w:bCs/>
          <w:sz w:val="24"/>
          <w:szCs w:val="24"/>
          <w:rtl/>
        </w:rPr>
        <w:t>רומקובסקי</w:t>
      </w:r>
      <w:proofErr w:type="spellEnd"/>
      <w:r>
        <w:rPr>
          <w:rFonts w:asciiTheme="majorBidi" w:hAnsiTheme="majorBidi" w:cstheme="majorBidi" w:hint="cs"/>
          <w:b/>
          <w:bCs/>
          <w:sz w:val="24"/>
          <w:szCs w:val="24"/>
          <w:rtl/>
        </w:rPr>
        <w:t xml:space="preserve"> </w:t>
      </w:r>
      <w:r w:rsidR="00632A92">
        <w:rPr>
          <w:rFonts w:asciiTheme="majorBidi" w:hAnsiTheme="majorBidi" w:cstheme="majorBidi" w:hint="cs"/>
          <w:b/>
          <w:bCs/>
          <w:sz w:val="24"/>
          <w:szCs w:val="24"/>
          <w:rtl/>
        </w:rPr>
        <w:t xml:space="preserve">בזמן גירוש הילדים מגטו לודז' </w:t>
      </w:r>
      <w:r w:rsidR="00632A92">
        <w:rPr>
          <w:rFonts w:asciiTheme="majorBidi" w:hAnsiTheme="majorBidi" w:cstheme="majorBidi"/>
          <w:b/>
          <w:bCs/>
          <w:sz w:val="24"/>
          <w:szCs w:val="24"/>
          <w:rtl/>
        </w:rPr>
        <w:t>–</w:t>
      </w:r>
      <w:r w:rsidR="00632A92">
        <w:rPr>
          <w:rFonts w:asciiTheme="majorBidi" w:hAnsiTheme="majorBidi" w:cstheme="majorBidi" w:hint="cs"/>
          <w:b/>
          <w:bCs/>
          <w:sz w:val="24"/>
          <w:szCs w:val="24"/>
          <w:rtl/>
        </w:rPr>
        <w:t xml:space="preserve"> 4 בספטמבר 1942 - </w:t>
      </w:r>
      <w:hyperlink r:id="rId8" w:history="1">
        <w:r w:rsidR="00632A92" w:rsidRPr="001964C6">
          <w:rPr>
            <w:rStyle w:val="Hyperlink"/>
            <w:rFonts w:asciiTheme="majorBidi" w:hAnsiTheme="majorBidi" w:cstheme="majorBidi"/>
            <w:b/>
            <w:bCs/>
            <w:sz w:val="24"/>
            <w:szCs w:val="24"/>
          </w:rPr>
          <w:t>http://lib.cet.ac.il/pages/item.asp?item=14537</w:t>
        </w:r>
      </w:hyperlink>
    </w:p>
    <w:p w:rsidR="00632A92" w:rsidRDefault="00632A92" w:rsidP="007614D8">
      <w:pPr>
        <w:jc w:val="both"/>
        <w:rPr>
          <w:rFonts w:asciiTheme="majorBidi" w:hAnsiTheme="majorBidi" w:cstheme="majorBidi"/>
          <w:b/>
          <w:bCs/>
          <w:sz w:val="24"/>
          <w:szCs w:val="24"/>
          <w:rtl/>
        </w:rPr>
      </w:pPr>
    </w:p>
    <w:p w:rsidR="00632A92" w:rsidRDefault="00632A92" w:rsidP="00632A92">
      <w:pPr>
        <w:rPr>
          <w:rFonts w:asciiTheme="majorBidi" w:hAnsiTheme="majorBidi" w:cstheme="majorBidi"/>
          <w:b/>
          <w:bCs/>
          <w:sz w:val="24"/>
          <w:szCs w:val="24"/>
          <w:rtl/>
        </w:rPr>
      </w:pPr>
      <w:r>
        <w:rPr>
          <w:rFonts w:asciiTheme="majorBidi" w:hAnsiTheme="majorBidi" w:cstheme="majorBidi" w:hint="cs"/>
          <w:b/>
          <w:bCs/>
          <w:sz w:val="24"/>
          <w:szCs w:val="24"/>
          <w:rtl/>
        </w:rPr>
        <w:t xml:space="preserve">מכתבו האחרון של מרדכי אנילביץ' (23 באפריל 1943) - </w:t>
      </w:r>
      <w:hyperlink r:id="rId9" w:history="1">
        <w:r w:rsidRPr="001964C6">
          <w:rPr>
            <w:rStyle w:val="Hyperlink"/>
            <w:rFonts w:asciiTheme="majorBidi" w:hAnsiTheme="majorBidi" w:cstheme="majorBidi"/>
            <w:b/>
            <w:bCs/>
            <w:sz w:val="24"/>
            <w:szCs w:val="24"/>
          </w:rPr>
          <w:t>http://lib.cet.ac.il/pages/item.asp?item=15913</w:t>
        </w:r>
      </w:hyperlink>
    </w:p>
    <w:p w:rsidR="00632A92" w:rsidRDefault="00632A92" w:rsidP="007614D8">
      <w:pPr>
        <w:jc w:val="both"/>
        <w:rPr>
          <w:rFonts w:asciiTheme="majorBidi" w:hAnsiTheme="majorBidi" w:cstheme="majorBidi"/>
          <w:b/>
          <w:bCs/>
          <w:sz w:val="24"/>
          <w:szCs w:val="24"/>
          <w:rtl/>
        </w:rPr>
      </w:pPr>
    </w:p>
    <w:p w:rsidR="00632A92" w:rsidRDefault="00777B77" w:rsidP="00777B77">
      <w:pPr>
        <w:rPr>
          <w:rFonts w:asciiTheme="majorBidi" w:hAnsiTheme="majorBidi" w:cstheme="majorBidi"/>
          <w:b/>
          <w:bCs/>
          <w:sz w:val="24"/>
          <w:szCs w:val="24"/>
          <w:rtl/>
        </w:rPr>
      </w:pPr>
      <w:r>
        <w:rPr>
          <w:rFonts w:asciiTheme="majorBidi" w:hAnsiTheme="majorBidi" w:cstheme="majorBidi" w:hint="cs"/>
          <w:b/>
          <w:bCs/>
          <w:sz w:val="24"/>
          <w:szCs w:val="24"/>
          <w:rtl/>
        </w:rPr>
        <w:t xml:space="preserve">כרוז שהוקרא באסיפת הנוער החלוצי בווילנה ב-1 בינואר 1942 - </w:t>
      </w:r>
      <w:hyperlink r:id="rId10" w:history="1">
        <w:r w:rsidRPr="001964C6">
          <w:rPr>
            <w:rStyle w:val="Hyperlink"/>
            <w:rFonts w:asciiTheme="majorBidi" w:hAnsiTheme="majorBidi" w:cstheme="majorBidi"/>
            <w:b/>
            <w:bCs/>
            <w:sz w:val="24"/>
            <w:szCs w:val="24"/>
          </w:rPr>
          <w:t>http://lib.cet.ac.il/pages/item.asp?item=15962</w:t>
        </w:r>
      </w:hyperlink>
    </w:p>
    <w:p w:rsidR="00777B77" w:rsidRDefault="00777B77" w:rsidP="00777B77">
      <w:pPr>
        <w:rPr>
          <w:rFonts w:asciiTheme="majorBidi" w:hAnsiTheme="majorBidi" w:cstheme="majorBidi"/>
          <w:b/>
          <w:bCs/>
          <w:sz w:val="24"/>
          <w:szCs w:val="24"/>
          <w:rtl/>
        </w:rPr>
      </w:pPr>
    </w:p>
    <w:p w:rsidR="00777B77" w:rsidRDefault="00777B77">
      <w:pPr>
        <w:bidi w:val="0"/>
        <w:rPr>
          <w:rFonts w:asciiTheme="majorBidi" w:hAnsiTheme="majorBidi" w:cstheme="majorBidi"/>
          <w:b/>
          <w:bCs/>
          <w:sz w:val="24"/>
          <w:szCs w:val="24"/>
          <w:rtl/>
        </w:rPr>
      </w:pPr>
      <w:r>
        <w:rPr>
          <w:rFonts w:asciiTheme="majorBidi" w:hAnsiTheme="majorBidi" w:cstheme="majorBidi"/>
          <w:b/>
          <w:bCs/>
          <w:sz w:val="24"/>
          <w:szCs w:val="24"/>
          <w:rtl/>
        </w:rPr>
        <w:br w:type="page"/>
      </w:r>
    </w:p>
    <w:p w:rsidR="00777B77" w:rsidRPr="00097830" w:rsidRDefault="00777B77" w:rsidP="00777B77">
      <w:pPr>
        <w:jc w:val="center"/>
        <w:rPr>
          <w:rFonts w:asciiTheme="majorBidi" w:hAnsiTheme="majorBidi" w:cstheme="majorBidi"/>
          <w:b/>
          <w:bCs/>
          <w:sz w:val="20"/>
          <w:szCs w:val="20"/>
          <w:u w:val="single"/>
          <w:rtl/>
        </w:rPr>
      </w:pPr>
      <w:r w:rsidRPr="00097830">
        <w:rPr>
          <w:rFonts w:asciiTheme="majorBidi" w:hAnsiTheme="majorBidi" w:cstheme="majorBidi" w:hint="cs"/>
          <w:b/>
          <w:bCs/>
          <w:sz w:val="20"/>
          <w:szCs w:val="20"/>
          <w:u w:val="single"/>
          <w:rtl/>
        </w:rPr>
        <w:lastRenderedPageBreak/>
        <w:t>תגובות העיתונות בארץ על הידיעות הראשונות על "השואה" 1942 (לקט)</w:t>
      </w:r>
    </w:p>
    <w:p w:rsidR="00777B77" w:rsidRPr="00640274" w:rsidRDefault="00777B77" w:rsidP="00777B77">
      <w:pPr>
        <w:pBdr>
          <w:top w:val="single" w:sz="4" w:space="1" w:color="auto"/>
          <w:left w:val="single" w:sz="4" w:space="4" w:color="auto"/>
          <w:bottom w:val="single" w:sz="4" w:space="1" w:color="auto"/>
          <w:right w:val="single" w:sz="4" w:space="4" w:color="auto"/>
        </w:pBdr>
        <w:jc w:val="both"/>
        <w:rPr>
          <w:rFonts w:asciiTheme="majorBidi" w:hAnsiTheme="majorBidi" w:cstheme="majorBidi"/>
          <w:sz w:val="20"/>
          <w:szCs w:val="20"/>
          <w:rtl/>
        </w:rPr>
      </w:pPr>
      <w:r w:rsidRPr="00640274">
        <w:rPr>
          <w:rFonts w:asciiTheme="majorBidi" w:hAnsiTheme="majorBidi" w:cstheme="majorBidi" w:hint="cs"/>
          <w:sz w:val="20"/>
          <w:szCs w:val="20"/>
          <w:rtl/>
        </w:rPr>
        <w:t>אין ספק שהרוצחים הנאצים שפכו דם כמים במקומות הכיבוש; אבל לכל המספרים הגדולים הללו, הניתנים מפי "חיילים השבים מן החזית" יש להתייחס, כמובן, בהסתייגות רבה.</w:t>
      </w:r>
    </w:p>
    <w:p w:rsidR="00777B77" w:rsidRPr="00640274" w:rsidRDefault="00777B77" w:rsidP="00777B77">
      <w:pPr>
        <w:pBdr>
          <w:top w:val="single" w:sz="4" w:space="1" w:color="auto"/>
          <w:left w:val="single" w:sz="4" w:space="4" w:color="auto"/>
          <w:bottom w:val="single" w:sz="4" w:space="1" w:color="auto"/>
          <w:right w:val="single" w:sz="4" w:space="4" w:color="auto"/>
        </w:pBdr>
        <w:jc w:val="right"/>
        <w:rPr>
          <w:rFonts w:asciiTheme="majorBidi" w:hAnsiTheme="majorBidi" w:cstheme="majorBidi"/>
          <w:sz w:val="20"/>
          <w:szCs w:val="20"/>
          <w:rtl/>
        </w:rPr>
      </w:pPr>
      <w:r w:rsidRPr="00640274">
        <w:rPr>
          <w:rFonts w:asciiTheme="majorBidi" w:hAnsiTheme="majorBidi" w:cstheme="majorBidi" w:hint="cs"/>
          <w:sz w:val="20"/>
          <w:szCs w:val="20"/>
          <w:rtl/>
        </w:rPr>
        <w:t xml:space="preserve">"דבר" </w:t>
      </w:r>
      <w:r w:rsidRPr="00640274">
        <w:rPr>
          <w:rFonts w:asciiTheme="majorBidi" w:hAnsiTheme="majorBidi" w:cstheme="majorBidi"/>
          <w:sz w:val="20"/>
          <w:szCs w:val="20"/>
          <w:rtl/>
        </w:rPr>
        <w:t>–</w:t>
      </w:r>
      <w:r w:rsidRPr="00640274">
        <w:rPr>
          <w:rFonts w:asciiTheme="majorBidi" w:hAnsiTheme="majorBidi" w:cstheme="majorBidi" w:hint="cs"/>
          <w:sz w:val="20"/>
          <w:szCs w:val="20"/>
          <w:rtl/>
        </w:rPr>
        <w:t xml:space="preserve"> 16.3.42</w:t>
      </w:r>
    </w:p>
    <w:p w:rsidR="00777B77" w:rsidRPr="00640274" w:rsidRDefault="00777B77" w:rsidP="00777B77">
      <w:pPr>
        <w:jc w:val="both"/>
        <w:rPr>
          <w:rFonts w:asciiTheme="majorBidi" w:hAnsiTheme="majorBidi" w:cstheme="majorBidi"/>
          <w:sz w:val="4"/>
          <w:szCs w:val="4"/>
          <w:rtl/>
        </w:rPr>
      </w:pPr>
    </w:p>
    <w:p w:rsidR="00777B77" w:rsidRPr="00640274" w:rsidRDefault="00861B6D" w:rsidP="00861B6D">
      <w:pPr>
        <w:pBdr>
          <w:top w:val="single" w:sz="4" w:space="1" w:color="auto"/>
          <w:left w:val="single" w:sz="4" w:space="4" w:color="auto"/>
          <w:bottom w:val="single" w:sz="4" w:space="1" w:color="auto"/>
          <w:right w:val="single" w:sz="4" w:space="4" w:color="auto"/>
        </w:pBdr>
        <w:jc w:val="both"/>
        <w:rPr>
          <w:rFonts w:asciiTheme="majorBidi" w:hAnsiTheme="majorBidi" w:cstheme="majorBidi"/>
          <w:sz w:val="20"/>
          <w:szCs w:val="20"/>
          <w:rtl/>
        </w:rPr>
      </w:pPr>
      <w:r w:rsidRPr="00640274">
        <w:rPr>
          <w:rFonts w:asciiTheme="majorBidi" w:hAnsiTheme="majorBidi" w:cstheme="majorBidi" w:hint="cs"/>
          <w:sz w:val="20"/>
          <w:szCs w:val="20"/>
          <w:rtl/>
        </w:rPr>
        <w:t xml:space="preserve">המודיעים הבלתי-אחראיים למיניהם מוסיפים במו ידיהם להרוג יהודים. הם קולטים כל שמועה, מחפשים בנרות אחרי כל בשורה רעה, אחרי כל מספר קטלני, ומגישים אותם לקוראים ולעיתונים בצורה ובתוכן המקפיאים את הדם... יודעים אנו מה נאמנה עדותם של חיילים ידועים החוזרים מן החזית ומתפארים במעשי ידיהם הגדולים בהריגת בני אדם, ויהודים בפרט... לאט לכם, מודיעים ועיתונים, ביציקת דם יהודי לתוך שורותיכם. </w:t>
      </w:r>
    </w:p>
    <w:p w:rsidR="00861B6D" w:rsidRPr="00640274" w:rsidRDefault="00861B6D" w:rsidP="00861B6D">
      <w:pPr>
        <w:pBdr>
          <w:top w:val="single" w:sz="4" w:space="1" w:color="auto"/>
          <w:left w:val="single" w:sz="4" w:space="4" w:color="auto"/>
          <w:bottom w:val="single" w:sz="4" w:space="1" w:color="auto"/>
          <w:right w:val="single" w:sz="4" w:space="4" w:color="auto"/>
        </w:pBdr>
        <w:jc w:val="right"/>
        <w:rPr>
          <w:rFonts w:asciiTheme="majorBidi" w:hAnsiTheme="majorBidi" w:cstheme="majorBidi"/>
          <w:sz w:val="20"/>
          <w:szCs w:val="20"/>
          <w:rtl/>
        </w:rPr>
      </w:pPr>
      <w:r w:rsidRPr="00640274">
        <w:rPr>
          <w:rFonts w:asciiTheme="majorBidi" w:hAnsiTheme="majorBidi" w:cstheme="majorBidi" w:hint="cs"/>
          <w:sz w:val="20"/>
          <w:szCs w:val="20"/>
          <w:rtl/>
        </w:rPr>
        <w:t xml:space="preserve">"דבר" </w:t>
      </w:r>
      <w:r w:rsidRPr="00640274">
        <w:rPr>
          <w:rFonts w:asciiTheme="majorBidi" w:hAnsiTheme="majorBidi" w:cstheme="majorBidi"/>
          <w:sz w:val="20"/>
          <w:szCs w:val="20"/>
          <w:rtl/>
        </w:rPr>
        <w:t>–</w:t>
      </w:r>
      <w:r w:rsidRPr="00640274">
        <w:rPr>
          <w:rFonts w:asciiTheme="majorBidi" w:hAnsiTheme="majorBidi" w:cstheme="majorBidi" w:hint="cs"/>
          <w:sz w:val="20"/>
          <w:szCs w:val="20"/>
          <w:rtl/>
        </w:rPr>
        <w:t xml:space="preserve"> 17.3.42</w:t>
      </w:r>
    </w:p>
    <w:p w:rsidR="00861B6D" w:rsidRPr="00640274" w:rsidRDefault="00861B6D" w:rsidP="00640274">
      <w:pPr>
        <w:rPr>
          <w:rFonts w:asciiTheme="majorBidi" w:hAnsiTheme="majorBidi" w:cstheme="majorBidi"/>
          <w:sz w:val="4"/>
          <w:szCs w:val="4"/>
          <w:rtl/>
        </w:rPr>
      </w:pPr>
    </w:p>
    <w:p w:rsidR="00861B6D" w:rsidRPr="00640274" w:rsidRDefault="00861B6D" w:rsidP="00861B6D">
      <w:pPr>
        <w:pBdr>
          <w:top w:val="single" w:sz="4" w:space="1" w:color="auto"/>
          <w:left w:val="single" w:sz="4" w:space="4" w:color="auto"/>
          <w:bottom w:val="single" w:sz="4" w:space="1" w:color="auto"/>
          <w:right w:val="single" w:sz="4" w:space="4" w:color="auto"/>
        </w:pBdr>
        <w:spacing w:after="0"/>
        <w:jc w:val="both"/>
        <w:rPr>
          <w:rFonts w:asciiTheme="majorBidi" w:hAnsiTheme="majorBidi" w:cstheme="majorBidi"/>
          <w:sz w:val="20"/>
          <w:szCs w:val="20"/>
          <w:rtl/>
        </w:rPr>
      </w:pPr>
      <w:r w:rsidRPr="00640274">
        <w:rPr>
          <w:rFonts w:asciiTheme="majorBidi" w:hAnsiTheme="majorBidi" w:cstheme="majorBidi" w:hint="cs"/>
          <w:sz w:val="20"/>
          <w:szCs w:val="20"/>
          <w:rtl/>
        </w:rPr>
        <w:t>כבר העירונו לא פעם על הנוהג המצער שנוהגים כמה מעיתוני הארץ לנפח כל שמועה רעה על שפיכת דמי יהודים, להרבות במספר החללים וההרוגים ולהכתירם מסגרת שחורה, כדי להשחיר את השחור ולהגדיל את הרושם, ולשם מה? וכי אין די צרות בישראל? וכי אין די דמי ישראל הנשפכים באמת בכל מקום? עד שיש צורך להוסיף עליהם הפלגות וגוזמאות?...</w:t>
      </w:r>
    </w:p>
    <w:p w:rsidR="00861B6D" w:rsidRPr="00640274" w:rsidRDefault="00861B6D" w:rsidP="00861B6D">
      <w:pPr>
        <w:pBdr>
          <w:top w:val="single" w:sz="4" w:space="1" w:color="auto"/>
          <w:left w:val="single" w:sz="4" w:space="4" w:color="auto"/>
          <w:bottom w:val="single" w:sz="4" w:space="1" w:color="auto"/>
          <w:right w:val="single" w:sz="4" w:space="4" w:color="auto"/>
        </w:pBdr>
        <w:spacing w:after="0"/>
        <w:jc w:val="both"/>
        <w:rPr>
          <w:rFonts w:asciiTheme="majorBidi" w:hAnsiTheme="majorBidi" w:cstheme="majorBidi"/>
          <w:sz w:val="20"/>
          <w:szCs w:val="20"/>
          <w:rtl/>
        </w:rPr>
      </w:pPr>
      <w:r w:rsidRPr="00640274">
        <w:rPr>
          <w:rFonts w:asciiTheme="majorBidi" w:hAnsiTheme="majorBidi" w:cstheme="majorBidi" w:hint="cs"/>
          <w:sz w:val="20"/>
          <w:szCs w:val="20"/>
          <w:rtl/>
        </w:rPr>
        <w:t xml:space="preserve">הישמעו המודיעים והעיתונאים, </w:t>
      </w:r>
      <w:proofErr w:type="spellStart"/>
      <w:r w:rsidRPr="00640274">
        <w:rPr>
          <w:rFonts w:asciiTheme="majorBidi" w:hAnsiTheme="majorBidi" w:cstheme="majorBidi" w:hint="cs"/>
          <w:sz w:val="20"/>
          <w:szCs w:val="20"/>
          <w:rtl/>
        </w:rPr>
        <w:t>היקחו</w:t>
      </w:r>
      <w:proofErr w:type="spellEnd"/>
      <w:r w:rsidRPr="00640274">
        <w:rPr>
          <w:rFonts w:asciiTheme="majorBidi" w:hAnsiTheme="majorBidi" w:cstheme="majorBidi" w:hint="cs"/>
          <w:sz w:val="20"/>
          <w:szCs w:val="20"/>
          <w:rtl/>
        </w:rPr>
        <w:t xml:space="preserve"> מוסר?</w:t>
      </w:r>
    </w:p>
    <w:p w:rsidR="00861B6D" w:rsidRPr="00640274" w:rsidRDefault="00861B6D" w:rsidP="00861B6D">
      <w:pPr>
        <w:pBdr>
          <w:top w:val="single" w:sz="4" w:space="1" w:color="auto"/>
          <w:left w:val="single" w:sz="4" w:space="4" w:color="auto"/>
          <w:bottom w:val="single" w:sz="4" w:space="1" w:color="auto"/>
          <w:right w:val="single" w:sz="4" w:space="4" w:color="auto"/>
        </w:pBdr>
        <w:spacing w:after="0"/>
        <w:jc w:val="right"/>
        <w:rPr>
          <w:rFonts w:asciiTheme="majorBidi" w:hAnsiTheme="majorBidi" w:cstheme="majorBidi"/>
          <w:sz w:val="20"/>
          <w:szCs w:val="20"/>
          <w:rtl/>
        </w:rPr>
      </w:pPr>
      <w:r w:rsidRPr="00640274">
        <w:rPr>
          <w:rFonts w:asciiTheme="majorBidi" w:hAnsiTheme="majorBidi" w:cstheme="majorBidi" w:hint="cs"/>
          <w:sz w:val="20"/>
          <w:szCs w:val="20"/>
          <w:rtl/>
        </w:rPr>
        <w:t xml:space="preserve">"הצופה" </w:t>
      </w:r>
      <w:r w:rsidRPr="00640274">
        <w:rPr>
          <w:rFonts w:asciiTheme="majorBidi" w:hAnsiTheme="majorBidi" w:cstheme="majorBidi"/>
          <w:sz w:val="20"/>
          <w:szCs w:val="20"/>
          <w:rtl/>
        </w:rPr>
        <w:t>–</w:t>
      </w:r>
      <w:r w:rsidRPr="00640274">
        <w:rPr>
          <w:rFonts w:asciiTheme="majorBidi" w:hAnsiTheme="majorBidi" w:cstheme="majorBidi" w:hint="cs"/>
          <w:sz w:val="20"/>
          <w:szCs w:val="20"/>
          <w:rtl/>
        </w:rPr>
        <w:t xml:space="preserve"> 18.3.42 </w:t>
      </w:r>
      <w:r w:rsidRPr="00640274">
        <w:rPr>
          <w:rFonts w:asciiTheme="majorBidi" w:hAnsiTheme="majorBidi" w:cstheme="majorBidi"/>
          <w:sz w:val="20"/>
          <w:szCs w:val="20"/>
          <w:rtl/>
        </w:rPr>
        <w:t>–</w:t>
      </w:r>
      <w:r w:rsidRPr="00640274">
        <w:rPr>
          <w:rFonts w:asciiTheme="majorBidi" w:hAnsiTheme="majorBidi" w:cstheme="majorBidi" w:hint="cs"/>
          <w:sz w:val="20"/>
          <w:szCs w:val="20"/>
          <w:rtl/>
        </w:rPr>
        <w:t xml:space="preserve"> תגובה על מידע של ב. </w:t>
      </w:r>
      <w:proofErr w:type="spellStart"/>
      <w:r w:rsidRPr="00640274">
        <w:rPr>
          <w:rFonts w:asciiTheme="majorBidi" w:hAnsiTheme="majorBidi" w:cstheme="majorBidi" w:hint="cs"/>
          <w:sz w:val="20"/>
          <w:szCs w:val="20"/>
          <w:rtl/>
        </w:rPr>
        <w:t>יעקובסון</w:t>
      </w:r>
      <w:proofErr w:type="spellEnd"/>
      <w:r w:rsidRPr="00640274">
        <w:rPr>
          <w:rFonts w:asciiTheme="majorBidi" w:hAnsiTheme="majorBidi" w:cstheme="majorBidi" w:hint="cs"/>
          <w:sz w:val="20"/>
          <w:szCs w:val="20"/>
          <w:rtl/>
        </w:rPr>
        <w:t>,</w:t>
      </w:r>
    </w:p>
    <w:p w:rsidR="00861B6D" w:rsidRDefault="00861B6D" w:rsidP="00861B6D">
      <w:pPr>
        <w:pBdr>
          <w:top w:val="single" w:sz="4" w:space="1" w:color="auto"/>
          <w:left w:val="single" w:sz="4" w:space="4" w:color="auto"/>
          <w:bottom w:val="single" w:sz="4" w:space="1" w:color="auto"/>
          <w:right w:val="single" w:sz="4" w:space="4" w:color="auto"/>
        </w:pBdr>
        <w:spacing w:after="0"/>
        <w:jc w:val="right"/>
        <w:rPr>
          <w:rFonts w:asciiTheme="majorBidi" w:hAnsiTheme="majorBidi" w:cstheme="majorBidi"/>
          <w:sz w:val="24"/>
          <w:szCs w:val="24"/>
          <w:rtl/>
        </w:rPr>
      </w:pPr>
      <w:r w:rsidRPr="00640274">
        <w:rPr>
          <w:rFonts w:asciiTheme="majorBidi" w:hAnsiTheme="majorBidi" w:cstheme="majorBidi" w:hint="cs"/>
          <w:sz w:val="20"/>
          <w:szCs w:val="20"/>
          <w:rtl/>
        </w:rPr>
        <w:t>נציג הג'וינט בהונגריה, על השמדת יהודים באוקראינה</w:t>
      </w:r>
      <w:r>
        <w:rPr>
          <w:rFonts w:asciiTheme="majorBidi" w:hAnsiTheme="majorBidi" w:cstheme="majorBidi" w:hint="cs"/>
          <w:sz w:val="24"/>
          <w:szCs w:val="24"/>
          <w:rtl/>
        </w:rPr>
        <w:t>.</w:t>
      </w:r>
    </w:p>
    <w:p w:rsidR="00861B6D" w:rsidRPr="00777B77" w:rsidRDefault="00861B6D" w:rsidP="00861B6D">
      <w:pPr>
        <w:spacing w:after="0"/>
        <w:jc w:val="both"/>
        <w:rPr>
          <w:rFonts w:asciiTheme="majorBidi" w:hAnsiTheme="majorBidi" w:cstheme="majorBidi"/>
          <w:sz w:val="24"/>
          <w:szCs w:val="24"/>
          <w:rtl/>
        </w:rPr>
      </w:pPr>
    </w:p>
    <w:p w:rsidR="00777B77" w:rsidRPr="00640274" w:rsidRDefault="00861B6D" w:rsidP="00640274">
      <w:pPr>
        <w:pBdr>
          <w:top w:val="single" w:sz="4" w:space="1" w:color="auto"/>
          <w:left w:val="single" w:sz="4" w:space="4" w:color="auto"/>
          <w:bottom w:val="single" w:sz="4" w:space="1" w:color="auto"/>
          <w:right w:val="single" w:sz="4" w:space="4" w:color="auto"/>
        </w:pBdr>
        <w:jc w:val="both"/>
        <w:rPr>
          <w:rFonts w:asciiTheme="majorBidi" w:hAnsiTheme="majorBidi" w:cstheme="majorBidi"/>
          <w:sz w:val="20"/>
          <w:szCs w:val="20"/>
          <w:rtl/>
        </w:rPr>
      </w:pPr>
      <w:r w:rsidRPr="00640274">
        <w:rPr>
          <w:rFonts w:asciiTheme="majorBidi" w:hAnsiTheme="majorBidi" w:cstheme="majorBidi" w:hint="cs"/>
          <w:sz w:val="20"/>
          <w:szCs w:val="20"/>
          <w:rtl/>
        </w:rPr>
        <w:t xml:space="preserve">הסוכנויות ומעיתונות שלנו מרבים להביא בזמן האחרון ידיעות על הריגות וטביחות ביהודים בארצות הכיבוש הנאצי, עמדנו כבר על התקלה שבדבר, אך לצערנו, אם </w:t>
      </w:r>
      <w:proofErr w:type="spellStart"/>
      <w:r w:rsidRPr="00640274">
        <w:rPr>
          <w:rFonts w:asciiTheme="majorBidi" w:hAnsiTheme="majorBidi" w:cstheme="majorBidi" w:hint="cs"/>
          <w:sz w:val="20"/>
          <w:szCs w:val="20"/>
          <w:rtl/>
        </w:rPr>
        <w:t>נשתנו</w:t>
      </w:r>
      <w:proofErr w:type="spellEnd"/>
      <w:r w:rsidRPr="00640274">
        <w:rPr>
          <w:rFonts w:asciiTheme="majorBidi" w:hAnsiTheme="majorBidi" w:cstheme="majorBidi" w:hint="cs"/>
          <w:sz w:val="20"/>
          <w:szCs w:val="20"/>
          <w:rtl/>
        </w:rPr>
        <w:t xml:space="preserve"> הדברים בעניין זה, הם </w:t>
      </w:r>
      <w:proofErr w:type="spellStart"/>
      <w:r w:rsidRPr="00640274">
        <w:rPr>
          <w:rFonts w:asciiTheme="majorBidi" w:hAnsiTheme="majorBidi" w:cstheme="majorBidi" w:hint="cs"/>
          <w:sz w:val="20"/>
          <w:szCs w:val="20"/>
          <w:rtl/>
        </w:rPr>
        <w:t>נשתנו</w:t>
      </w:r>
      <w:proofErr w:type="spellEnd"/>
      <w:r w:rsidRPr="00640274">
        <w:rPr>
          <w:rFonts w:asciiTheme="majorBidi" w:hAnsiTheme="majorBidi" w:cstheme="majorBidi" w:hint="cs"/>
          <w:sz w:val="20"/>
          <w:szCs w:val="20"/>
          <w:rtl/>
        </w:rPr>
        <w:t xml:space="preserve"> לרעה, שתי סוכנויות הידיעות היהודית מתחרות זו בזו, ומכיוון ששטח פעולתן בשעת חירום זו, </w:t>
      </w:r>
      <w:r w:rsidR="00640274" w:rsidRPr="00640274">
        <w:rPr>
          <w:rFonts w:asciiTheme="majorBidi" w:hAnsiTheme="majorBidi" w:cstheme="majorBidi" w:hint="cs"/>
          <w:sz w:val="20"/>
          <w:szCs w:val="20"/>
          <w:rtl/>
        </w:rPr>
        <w:t xml:space="preserve">מצאו לעצמן מקום להתגדר בו </w:t>
      </w:r>
      <w:r w:rsidR="00640274" w:rsidRPr="00640274">
        <w:rPr>
          <w:rFonts w:asciiTheme="majorBidi" w:hAnsiTheme="majorBidi" w:cstheme="majorBidi"/>
          <w:sz w:val="20"/>
          <w:szCs w:val="20"/>
          <w:rtl/>
        </w:rPr>
        <w:t>–</w:t>
      </w:r>
      <w:r w:rsidR="00640274" w:rsidRPr="00640274">
        <w:rPr>
          <w:rFonts w:asciiTheme="majorBidi" w:hAnsiTheme="majorBidi" w:cstheme="majorBidi" w:hint="cs"/>
          <w:sz w:val="20"/>
          <w:szCs w:val="20"/>
          <w:rtl/>
        </w:rPr>
        <w:t xml:space="preserve"> טביחות והריגות ביהודים. דומה שכל סוכנות מתחרה בחברתה בריבוי מספר ההרוגים והטבוחים. לא פעם קורה שסוכנות אחת חוזרת על אותה ידיעה שהודיעה חברתה, אלא בשינוי זמן ומקום. בזמן האחרון אנו עדים לתופעה משונה בעניין זה; אותה סוכנות מודיעה אותה ידיעה פעמיים ביום </w:t>
      </w:r>
      <w:r w:rsidR="00640274" w:rsidRPr="00640274">
        <w:rPr>
          <w:rFonts w:asciiTheme="majorBidi" w:hAnsiTheme="majorBidi" w:cstheme="majorBidi"/>
          <w:sz w:val="20"/>
          <w:szCs w:val="20"/>
          <w:rtl/>
        </w:rPr>
        <w:t>–</w:t>
      </w:r>
      <w:r w:rsidR="00640274" w:rsidRPr="00640274">
        <w:rPr>
          <w:rFonts w:asciiTheme="majorBidi" w:hAnsiTheme="majorBidi" w:cstheme="majorBidi" w:hint="cs"/>
          <w:sz w:val="20"/>
          <w:szCs w:val="20"/>
          <w:rtl/>
        </w:rPr>
        <w:t xml:space="preserve"> הקורא יום יום על רבבות הרוגים וטבוחים מתרגל לידיעות אלה ושוב אינו מרגיש בהן ובאימתן. כלפי חוץ מרגילות ידיעות אלה לראות את היהודים כהפקר גמור, שדמו מותר או אין להם דמים כלל. </w:t>
      </w:r>
    </w:p>
    <w:p w:rsidR="00640274" w:rsidRDefault="00640274" w:rsidP="00640274">
      <w:pPr>
        <w:pBdr>
          <w:top w:val="single" w:sz="4" w:space="1" w:color="auto"/>
          <w:left w:val="single" w:sz="4" w:space="4" w:color="auto"/>
          <w:bottom w:val="single" w:sz="4" w:space="1" w:color="auto"/>
          <w:right w:val="single" w:sz="4" w:space="4" w:color="auto"/>
        </w:pBdr>
        <w:jc w:val="right"/>
        <w:rPr>
          <w:rFonts w:asciiTheme="majorBidi" w:hAnsiTheme="majorBidi" w:cstheme="majorBidi"/>
          <w:sz w:val="24"/>
          <w:szCs w:val="24"/>
          <w:rtl/>
        </w:rPr>
      </w:pPr>
      <w:r w:rsidRPr="00640274">
        <w:rPr>
          <w:rFonts w:asciiTheme="majorBidi" w:hAnsiTheme="majorBidi" w:cstheme="majorBidi" w:hint="cs"/>
          <w:sz w:val="20"/>
          <w:szCs w:val="20"/>
          <w:rtl/>
        </w:rPr>
        <w:t xml:space="preserve">"הצופה" </w:t>
      </w:r>
      <w:r w:rsidRPr="00640274">
        <w:rPr>
          <w:rFonts w:asciiTheme="majorBidi" w:hAnsiTheme="majorBidi" w:cstheme="majorBidi"/>
          <w:sz w:val="20"/>
          <w:szCs w:val="20"/>
          <w:rtl/>
        </w:rPr>
        <w:t>–</w:t>
      </w:r>
      <w:r w:rsidRPr="00640274">
        <w:rPr>
          <w:rFonts w:asciiTheme="majorBidi" w:hAnsiTheme="majorBidi" w:cstheme="majorBidi" w:hint="cs"/>
          <w:sz w:val="20"/>
          <w:szCs w:val="20"/>
          <w:rtl/>
        </w:rPr>
        <w:t xml:space="preserve"> 9.4.42</w:t>
      </w:r>
    </w:p>
    <w:p w:rsidR="00640274" w:rsidRDefault="00640274" w:rsidP="00640274">
      <w:pPr>
        <w:jc w:val="both"/>
        <w:rPr>
          <w:rFonts w:asciiTheme="majorBidi" w:hAnsiTheme="majorBidi" w:cstheme="majorBidi"/>
          <w:sz w:val="24"/>
          <w:szCs w:val="24"/>
          <w:rtl/>
        </w:rPr>
      </w:pPr>
    </w:p>
    <w:p w:rsidR="00640274" w:rsidRDefault="00640274" w:rsidP="00640274">
      <w:pPr>
        <w:pBdr>
          <w:top w:val="single" w:sz="4" w:space="1" w:color="auto"/>
          <w:left w:val="single" w:sz="4" w:space="4" w:color="auto"/>
          <w:bottom w:val="single" w:sz="4" w:space="1" w:color="auto"/>
          <w:right w:val="single" w:sz="4" w:space="4" w:color="auto"/>
        </w:pBdr>
        <w:jc w:val="both"/>
        <w:rPr>
          <w:rFonts w:asciiTheme="majorBidi" w:hAnsiTheme="majorBidi" w:cstheme="majorBidi"/>
          <w:sz w:val="20"/>
          <w:szCs w:val="20"/>
          <w:rtl/>
        </w:rPr>
      </w:pPr>
      <w:r>
        <w:rPr>
          <w:rFonts w:asciiTheme="majorBidi" w:hAnsiTheme="majorBidi" w:cstheme="majorBidi" w:hint="cs"/>
          <w:sz w:val="20"/>
          <w:szCs w:val="20"/>
          <w:rtl/>
        </w:rPr>
        <w:t xml:space="preserve">הידיעות הללו, כשהן באות בצורת שמועות קלוטות מן האוויר, מודיע מפי מודיע וסופר מפי סופר, עושות את הרושם </w:t>
      </w:r>
      <w:proofErr w:type="spellStart"/>
      <w:r>
        <w:rPr>
          <w:rFonts w:asciiTheme="majorBidi" w:hAnsiTheme="majorBidi" w:cstheme="majorBidi" w:hint="cs"/>
          <w:sz w:val="20"/>
          <w:szCs w:val="20"/>
          <w:rtl/>
        </w:rPr>
        <w:t>ההפוך;שכן</w:t>
      </w:r>
      <w:proofErr w:type="spellEnd"/>
      <w:r>
        <w:rPr>
          <w:rFonts w:asciiTheme="majorBidi" w:hAnsiTheme="majorBidi" w:cstheme="majorBidi" w:hint="cs"/>
          <w:sz w:val="20"/>
          <w:szCs w:val="20"/>
          <w:rtl/>
        </w:rPr>
        <w:t xml:space="preserve"> ידיעות אלה חוזרות על עצמן. מה שהתפרסם אתמול בשטוקהולם, חוזר ומתפרסם היום בלונדון. יוצא שההריגות והטביחות לובשות צורות איומות, </w:t>
      </w:r>
      <w:proofErr w:type="spellStart"/>
      <w:r>
        <w:rPr>
          <w:rFonts w:asciiTheme="majorBidi" w:hAnsiTheme="majorBidi" w:cstheme="majorBidi" w:hint="cs"/>
          <w:sz w:val="20"/>
          <w:szCs w:val="20"/>
          <w:rtl/>
        </w:rPr>
        <w:t>מימדים</w:t>
      </w:r>
      <w:proofErr w:type="spellEnd"/>
      <w:r>
        <w:rPr>
          <w:rFonts w:asciiTheme="majorBidi" w:hAnsiTheme="majorBidi" w:cstheme="majorBidi" w:hint="cs"/>
          <w:sz w:val="20"/>
          <w:szCs w:val="20"/>
          <w:rtl/>
        </w:rPr>
        <w:t xml:space="preserve"> מבהילים... הטביחות וההריגות והשחיטות הגדולות והאיומות בפולין ובליטא אינן עושות רושם. לא משום שטביחות אלו נעשו ביהודים, אלא משום שהידיעות עליהן נמסרות בצורה פגומה. </w:t>
      </w:r>
    </w:p>
    <w:p w:rsidR="00640274" w:rsidRDefault="00640274" w:rsidP="00640274">
      <w:pPr>
        <w:pBdr>
          <w:top w:val="single" w:sz="4" w:space="1" w:color="auto"/>
          <w:left w:val="single" w:sz="4" w:space="4" w:color="auto"/>
          <w:bottom w:val="single" w:sz="4" w:space="1" w:color="auto"/>
          <w:right w:val="single" w:sz="4" w:space="4" w:color="auto"/>
        </w:pBdr>
        <w:spacing w:after="0"/>
        <w:jc w:val="right"/>
        <w:rPr>
          <w:rFonts w:asciiTheme="majorBidi" w:hAnsiTheme="majorBidi" w:cstheme="majorBidi"/>
          <w:sz w:val="20"/>
          <w:szCs w:val="20"/>
          <w:rtl/>
        </w:rPr>
      </w:pPr>
      <w:r>
        <w:rPr>
          <w:rFonts w:asciiTheme="majorBidi" w:hAnsiTheme="majorBidi" w:cstheme="majorBidi" w:hint="cs"/>
          <w:sz w:val="20"/>
          <w:szCs w:val="20"/>
          <w:rtl/>
        </w:rPr>
        <w:t xml:space="preserve">"הצופה" </w:t>
      </w:r>
      <w:r>
        <w:rPr>
          <w:rFonts w:asciiTheme="majorBidi" w:hAnsiTheme="majorBidi" w:cstheme="majorBidi"/>
          <w:sz w:val="20"/>
          <w:szCs w:val="20"/>
          <w:rtl/>
        </w:rPr>
        <w:t>–</w:t>
      </w:r>
      <w:r>
        <w:rPr>
          <w:rFonts w:asciiTheme="majorBidi" w:hAnsiTheme="majorBidi" w:cstheme="majorBidi" w:hint="cs"/>
          <w:sz w:val="20"/>
          <w:szCs w:val="20"/>
          <w:rtl/>
        </w:rPr>
        <w:t xml:space="preserve"> 30.6.42 </w:t>
      </w:r>
      <w:r>
        <w:rPr>
          <w:rFonts w:asciiTheme="majorBidi" w:hAnsiTheme="majorBidi" w:cstheme="majorBidi"/>
          <w:sz w:val="20"/>
          <w:szCs w:val="20"/>
          <w:rtl/>
        </w:rPr>
        <w:t>–</w:t>
      </w:r>
      <w:r>
        <w:rPr>
          <w:rFonts w:asciiTheme="majorBidi" w:hAnsiTheme="majorBidi" w:cstheme="majorBidi" w:hint="cs"/>
          <w:sz w:val="20"/>
          <w:szCs w:val="20"/>
          <w:rtl/>
        </w:rPr>
        <w:t xml:space="preserve"> מאמר מערכת,</w:t>
      </w:r>
    </w:p>
    <w:p w:rsidR="00640274" w:rsidRDefault="00640274" w:rsidP="00640274">
      <w:pPr>
        <w:pBdr>
          <w:top w:val="single" w:sz="4" w:space="1" w:color="auto"/>
          <w:left w:val="single" w:sz="4" w:space="4" w:color="auto"/>
          <w:bottom w:val="single" w:sz="4" w:space="1" w:color="auto"/>
          <w:right w:val="single" w:sz="4" w:space="4" w:color="auto"/>
        </w:pBdr>
        <w:spacing w:after="0"/>
        <w:jc w:val="right"/>
        <w:rPr>
          <w:rFonts w:asciiTheme="majorBidi" w:hAnsiTheme="majorBidi" w:cstheme="majorBidi"/>
          <w:sz w:val="20"/>
          <w:szCs w:val="20"/>
          <w:rtl/>
        </w:rPr>
      </w:pPr>
      <w:r>
        <w:rPr>
          <w:rFonts w:asciiTheme="majorBidi" w:hAnsiTheme="majorBidi" w:cstheme="majorBidi" w:hint="cs"/>
          <w:sz w:val="20"/>
          <w:szCs w:val="20"/>
          <w:rtl/>
        </w:rPr>
        <w:t xml:space="preserve">תגובה על דוח </w:t>
      </w:r>
      <w:proofErr w:type="spellStart"/>
      <w:r>
        <w:rPr>
          <w:rFonts w:asciiTheme="majorBidi" w:hAnsiTheme="majorBidi" w:cstheme="majorBidi" w:hint="cs"/>
          <w:sz w:val="20"/>
          <w:szCs w:val="20"/>
          <w:rtl/>
        </w:rPr>
        <w:t>זיגלבוים</w:t>
      </w:r>
      <w:proofErr w:type="spellEnd"/>
      <w:r>
        <w:rPr>
          <w:rFonts w:asciiTheme="majorBidi" w:hAnsiTheme="majorBidi" w:cstheme="majorBidi" w:hint="cs"/>
          <w:sz w:val="20"/>
          <w:szCs w:val="20"/>
          <w:rtl/>
        </w:rPr>
        <w:t xml:space="preserve"> בלונדון</w:t>
      </w:r>
    </w:p>
    <w:p w:rsidR="00640274" w:rsidRPr="00640274" w:rsidRDefault="00640274" w:rsidP="00640274">
      <w:pPr>
        <w:jc w:val="right"/>
        <w:rPr>
          <w:rFonts w:asciiTheme="majorBidi" w:hAnsiTheme="majorBidi" w:cstheme="majorBidi"/>
          <w:sz w:val="20"/>
          <w:szCs w:val="20"/>
          <w:rtl/>
        </w:rPr>
      </w:pPr>
    </w:p>
    <w:p w:rsidR="00640274" w:rsidRDefault="00097830" w:rsidP="00097830">
      <w:pPr>
        <w:pBdr>
          <w:top w:val="single" w:sz="4" w:space="1" w:color="auto"/>
          <w:left w:val="single" w:sz="4" w:space="4" w:color="auto"/>
          <w:bottom w:val="single" w:sz="4" w:space="1" w:color="auto"/>
          <w:right w:val="single" w:sz="4" w:space="4" w:color="auto"/>
        </w:pBdr>
        <w:jc w:val="both"/>
        <w:rPr>
          <w:rFonts w:asciiTheme="majorBidi" w:hAnsiTheme="majorBidi" w:cstheme="majorBidi"/>
          <w:sz w:val="20"/>
          <w:szCs w:val="20"/>
          <w:rtl/>
        </w:rPr>
      </w:pPr>
      <w:r>
        <w:rPr>
          <w:rFonts w:asciiTheme="majorBidi" w:hAnsiTheme="majorBidi" w:cstheme="majorBidi" w:hint="cs"/>
          <w:sz w:val="20"/>
          <w:szCs w:val="20"/>
          <w:rtl/>
        </w:rPr>
        <w:t xml:space="preserve">קשה להאמין בדבר. המודיע מוסר בעצמו </w:t>
      </w:r>
      <w:proofErr w:type="spellStart"/>
      <w:r>
        <w:rPr>
          <w:rFonts w:asciiTheme="majorBidi" w:hAnsiTheme="majorBidi" w:cstheme="majorBidi" w:hint="cs"/>
          <w:sz w:val="20"/>
          <w:szCs w:val="20"/>
          <w:rtl/>
        </w:rPr>
        <w:t>שבגיטו</w:t>
      </w:r>
      <w:proofErr w:type="spellEnd"/>
      <w:r>
        <w:rPr>
          <w:rFonts w:asciiTheme="majorBidi" w:hAnsiTheme="majorBidi" w:cstheme="majorBidi" w:hint="cs"/>
          <w:sz w:val="20"/>
          <w:szCs w:val="20"/>
          <w:rtl/>
        </w:rPr>
        <w:t xml:space="preserve"> </w:t>
      </w:r>
      <w:proofErr w:type="spellStart"/>
      <w:r>
        <w:rPr>
          <w:rFonts w:asciiTheme="majorBidi" w:hAnsiTheme="majorBidi" w:cstheme="majorBidi" w:hint="cs"/>
          <w:sz w:val="20"/>
          <w:szCs w:val="20"/>
          <w:rtl/>
        </w:rPr>
        <w:t>הוילנאי</w:t>
      </w:r>
      <w:proofErr w:type="spellEnd"/>
      <w:r>
        <w:rPr>
          <w:rFonts w:asciiTheme="majorBidi" w:hAnsiTheme="majorBidi" w:cstheme="majorBidi" w:hint="cs"/>
          <w:sz w:val="20"/>
          <w:szCs w:val="20"/>
          <w:rtl/>
        </w:rPr>
        <w:t xml:space="preserve"> נכלאו 70 אלף, ונמצאים כעת 40 אלף יהודים. אם נצרף את הנרצחים נמצא שהיו </w:t>
      </w:r>
      <w:proofErr w:type="spellStart"/>
      <w:r>
        <w:rPr>
          <w:rFonts w:asciiTheme="majorBidi" w:hAnsiTheme="majorBidi" w:cstheme="majorBidi" w:hint="cs"/>
          <w:sz w:val="20"/>
          <w:szCs w:val="20"/>
          <w:rtl/>
        </w:rPr>
        <w:t>בוילנא</w:t>
      </w:r>
      <w:proofErr w:type="spellEnd"/>
      <w:r>
        <w:rPr>
          <w:rFonts w:asciiTheme="majorBidi" w:hAnsiTheme="majorBidi" w:cstheme="majorBidi" w:hint="cs"/>
          <w:sz w:val="20"/>
          <w:szCs w:val="20"/>
          <w:rtl/>
        </w:rPr>
        <w:t xml:space="preserve"> מתחילה מאה אלף יהודים. והרי ידוע שמעולם לא היו </w:t>
      </w:r>
      <w:proofErr w:type="spellStart"/>
      <w:r>
        <w:rPr>
          <w:rFonts w:asciiTheme="majorBidi" w:hAnsiTheme="majorBidi" w:cstheme="majorBidi" w:hint="cs"/>
          <w:sz w:val="20"/>
          <w:szCs w:val="20"/>
          <w:rtl/>
        </w:rPr>
        <w:t>בוילנא</w:t>
      </w:r>
      <w:proofErr w:type="spellEnd"/>
      <w:r>
        <w:rPr>
          <w:rFonts w:asciiTheme="majorBidi" w:hAnsiTheme="majorBidi" w:cstheme="majorBidi" w:hint="cs"/>
          <w:sz w:val="20"/>
          <w:szCs w:val="20"/>
          <w:rtl/>
        </w:rPr>
        <w:t xml:space="preserve"> יהודים במספר הזה... אכן יש רושם שהמחבר מתכוון קודם כל להשחיר את פני הליטאים. עלינו לזכור שהיחסים בין הפולנים והליטאים </w:t>
      </w:r>
      <w:proofErr w:type="spellStart"/>
      <w:r>
        <w:rPr>
          <w:rFonts w:asciiTheme="majorBidi" w:hAnsiTheme="majorBidi" w:cstheme="majorBidi" w:hint="cs"/>
          <w:sz w:val="20"/>
          <w:szCs w:val="20"/>
          <w:rtl/>
        </w:rPr>
        <w:t>בוילנא</w:t>
      </w:r>
      <w:proofErr w:type="spellEnd"/>
      <w:r>
        <w:rPr>
          <w:rFonts w:asciiTheme="majorBidi" w:hAnsiTheme="majorBidi" w:cstheme="majorBidi" w:hint="cs"/>
          <w:sz w:val="20"/>
          <w:szCs w:val="20"/>
          <w:rtl/>
        </w:rPr>
        <w:t xml:space="preserve"> מיום שנכבשה ע"י הליטאים היו מתוחים מאוד.</w:t>
      </w:r>
    </w:p>
    <w:p w:rsidR="00097830" w:rsidRDefault="00097830" w:rsidP="00097830">
      <w:pPr>
        <w:pBdr>
          <w:top w:val="single" w:sz="4" w:space="1" w:color="auto"/>
          <w:left w:val="single" w:sz="4" w:space="4" w:color="auto"/>
          <w:bottom w:val="single" w:sz="4" w:space="1" w:color="auto"/>
          <w:right w:val="single" w:sz="4" w:space="4" w:color="auto"/>
        </w:pBdr>
        <w:jc w:val="right"/>
        <w:rPr>
          <w:rFonts w:asciiTheme="majorBidi" w:hAnsiTheme="majorBidi" w:cstheme="majorBidi"/>
          <w:sz w:val="20"/>
          <w:szCs w:val="20"/>
          <w:rtl/>
        </w:rPr>
      </w:pPr>
      <w:r>
        <w:rPr>
          <w:rFonts w:asciiTheme="majorBidi" w:hAnsiTheme="majorBidi" w:cstheme="majorBidi" w:hint="cs"/>
          <w:sz w:val="20"/>
          <w:szCs w:val="20"/>
          <w:rtl/>
        </w:rPr>
        <w:t xml:space="preserve">"הבוקר" </w:t>
      </w:r>
      <w:r>
        <w:rPr>
          <w:rFonts w:asciiTheme="majorBidi" w:hAnsiTheme="majorBidi" w:cstheme="majorBidi"/>
          <w:sz w:val="20"/>
          <w:szCs w:val="20"/>
          <w:rtl/>
        </w:rPr>
        <w:t>–</w:t>
      </w:r>
      <w:r>
        <w:rPr>
          <w:rFonts w:asciiTheme="majorBidi" w:hAnsiTheme="majorBidi" w:cstheme="majorBidi" w:hint="cs"/>
          <w:sz w:val="20"/>
          <w:szCs w:val="20"/>
          <w:rtl/>
        </w:rPr>
        <w:t xml:space="preserve"> 25.8.42 </w:t>
      </w:r>
      <w:r>
        <w:rPr>
          <w:rFonts w:asciiTheme="majorBidi" w:hAnsiTheme="majorBidi" w:cstheme="majorBidi"/>
          <w:sz w:val="20"/>
          <w:szCs w:val="20"/>
          <w:rtl/>
        </w:rPr>
        <w:t>–</w:t>
      </w:r>
      <w:r>
        <w:rPr>
          <w:rFonts w:asciiTheme="majorBidi" w:hAnsiTheme="majorBidi" w:cstheme="majorBidi" w:hint="cs"/>
          <w:sz w:val="20"/>
          <w:szCs w:val="20"/>
          <w:rtl/>
        </w:rPr>
        <w:t xml:space="preserve"> תגובה על השמדת יהודי </w:t>
      </w:r>
      <w:proofErr w:type="spellStart"/>
      <w:r>
        <w:rPr>
          <w:rFonts w:asciiTheme="majorBidi" w:hAnsiTheme="majorBidi" w:cstheme="majorBidi" w:hint="cs"/>
          <w:sz w:val="20"/>
          <w:szCs w:val="20"/>
          <w:rtl/>
        </w:rPr>
        <w:t>וילנא</w:t>
      </w:r>
      <w:proofErr w:type="spellEnd"/>
    </w:p>
    <w:p w:rsidR="00097830" w:rsidRPr="00097830" w:rsidRDefault="00097830" w:rsidP="00097830">
      <w:pPr>
        <w:jc w:val="right"/>
        <w:rPr>
          <w:rFonts w:asciiTheme="majorBidi" w:hAnsiTheme="majorBidi" w:cstheme="majorBidi"/>
          <w:sz w:val="20"/>
          <w:szCs w:val="20"/>
          <w:rtl/>
        </w:rPr>
      </w:pPr>
    </w:p>
    <w:p w:rsidR="00632A92" w:rsidRPr="007614D8" w:rsidRDefault="00632A92" w:rsidP="007614D8">
      <w:pPr>
        <w:jc w:val="both"/>
        <w:rPr>
          <w:rFonts w:asciiTheme="majorBidi" w:hAnsiTheme="majorBidi" w:cstheme="majorBidi"/>
          <w:b/>
          <w:bCs/>
          <w:sz w:val="24"/>
          <w:szCs w:val="24"/>
        </w:rPr>
      </w:pPr>
    </w:p>
    <w:sectPr w:rsidR="00632A92" w:rsidRPr="007614D8" w:rsidSect="001839F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4D8"/>
    <w:rsid w:val="00097830"/>
    <w:rsid w:val="001129E7"/>
    <w:rsid w:val="001839F9"/>
    <w:rsid w:val="00280778"/>
    <w:rsid w:val="006125A3"/>
    <w:rsid w:val="00632A92"/>
    <w:rsid w:val="00640274"/>
    <w:rsid w:val="0073251A"/>
    <w:rsid w:val="007614D8"/>
    <w:rsid w:val="00777B77"/>
    <w:rsid w:val="00861B6D"/>
    <w:rsid w:val="0094729F"/>
    <w:rsid w:val="00B1512B"/>
    <w:rsid w:val="00B57D94"/>
    <w:rsid w:val="00CE5B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5A3"/>
    <w:pPr>
      <w:bidi/>
    </w:pPr>
  </w:style>
  <w:style w:type="paragraph" w:styleId="1">
    <w:name w:val="heading 1"/>
    <w:basedOn w:val="a"/>
    <w:next w:val="a"/>
    <w:link w:val="10"/>
    <w:uiPriority w:val="9"/>
    <w:qFormat/>
    <w:rsid w:val="006125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125A3"/>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1"/>
    <w:qFormat/>
    <w:rsid w:val="006125A3"/>
    <w:pPr>
      <w:bidi/>
      <w:spacing w:after="0" w:line="240" w:lineRule="auto"/>
    </w:pPr>
    <w:rPr>
      <w:rFonts w:eastAsiaTheme="minorEastAsia"/>
    </w:rPr>
  </w:style>
  <w:style w:type="character" w:customStyle="1" w:styleId="a4">
    <w:name w:val="ללא מרווח תו"/>
    <w:basedOn w:val="a0"/>
    <w:link w:val="a3"/>
    <w:uiPriority w:val="1"/>
    <w:rsid w:val="006125A3"/>
    <w:rPr>
      <w:rFonts w:eastAsiaTheme="minorEastAsia"/>
    </w:rPr>
  </w:style>
  <w:style w:type="paragraph" w:styleId="a5">
    <w:name w:val="List Paragraph"/>
    <w:basedOn w:val="a"/>
    <w:uiPriority w:val="34"/>
    <w:qFormat/>
    <w:rsid w:val="006125A3"/>
    <w:pPr>
      <w:ind w:left="720"/>
      <w:contextualSpacing/>
    </w:pPr>
  </w:style>
  <w:style w:type="paragraph" w:styleId="a6">
    <w:name w:val="TOC Heading"/>
    <w:basedOn w:val="1"/>
    <w:next w:val="a"/>
    <w:uiPriority w:val="39"/>
    <w:unhideWhenUsed/>
    <w:qFormat/>
    <w:rsid w:val="006125A3"/>
    <w:pPr>
      <w:outlineLvl w:val="9"/>
    </w:pPr>
    <w:rPr>
      <w:rtl/>
      <w:cs/>
    </w:rPr>
  </w:style>
  <w:style w:type="character" w:styleId="Hyperlink">
    <w:name w:val="Hyperlink"/>
    <w:basedOn w:val="a0"/>
    <w:uiPriority w:val="99"/>
    <w:unhideWhenUsed/>
    <w:rsid w:val="007614D8"/>
    <w:rPr>
      <w:color w:val="0000FF" w:themeColor="hyperlink"/>
      <w:u w:val="single"/>
    </w:rPr>
  </w:style>
  <w:style w:type="character" w:styleId="FollowedHyperlink">
    <w:name w:val="FollowedHyperlink"/>
    <w:basedOn w:val="a0"/>
    <w:uiPriority w:val="99"/>
    <w:semiHidden/>
    <w:unhideWhenUsed/>
    <w:rsid w:val="000978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5A3"/>
    <w:pPr>
      <w:bidi/>
    </w:pPr>
  </w:style>
  <w:style w:type="paragraph" w:styleId="1">
    <w:name w:val="heading 1"/>
    <w:basedOn w:val="a"/>
    <w:next w:val="a"/>
    <w:link w:val="10"/>
    <w:uiPriority w:val="9"/>
    <w:qFormat/>
    <w:rsid w:val="006125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125A3"/>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1"/>
    <w:qFormat/>
    <w:rsid w:val="006125A3"/>
    <w:pPr>
      <w:bidi/>
      <w:spacing w:after="0" w:line="240" w:lineRule="auto"/>
    </w:pPr>
    <w:rPr>
      <w:rFonts w:eastAsiaTheme="minorEastAsia"/>
    </w:rPr>
  </w:style>
  <w:style w:type="character" w:customStyle="1" w:styleId="a4">
    <w:name w:val="ללא מרווח תו"/>
    <w:basedOn w:val="a0"/>
    <w:link w:val="a3"/>
    <w:uiPriority w:val="1"/>
    <w:rsid w:val="006125A3"/>
    <w:rPr>
      <w:rFonts w:eastAsiaTheme="minorEastAsia"/>
    </w:rPr>
  </w:style>
  <w:style w:type="paragraph" w:styleId="a5">
    <w:name w:val="List Paragraph"/>
    <w:basedOn w:val="a"/>
    <w:uiPriority w:val="34"/>
    <w:qFormat/>
    <w:rsid w:val="006125A3"/>
    <w:pPr>
      <w:ind w:left="720"/>
      <w:contextualSpacing/>
    </w:pPr>
  </w:style>
  <w:style w:type="paragraph" w:styleId="a6">
    <w:name w:val="TOC Heading"/>
    <w:basedOn w:val="1"/>
    <w:next w:val="a"/>
    <w:uiPriority w:val="39"/>
    <w:unhideWhenUsed/>
    <w:qFormat/>
    <w:rsid w:val="006125A3"/>
    <w:pPr>
      <w:outlineLvl w:val="9"/>
    </w:pPr>
    <w:rPr>
      <w:rtl/>
      <w:cs/>
    </w:rPr>
  </w:style>
  <w:style w:type="character" w:styleId="Hyperlink">
    <w:name w:val="Hyperlink"/>
    <w:basedOn w:val="a0"/>
    <w:uiPriority w:val="99"/>
    <w:unhideWhenUsed/>
    <w:rsid w:val="007614D8"/>
    <w:rPr>
      <w:color w:val="0000FF" w:themeColor="hyperlink"/>
      <w:u w:val="single"/>
    </w:rPr>
  </w:style>
  <w:style w:type="character" w:styleId="FollowedHyperlink">
    <w:name w:val="FollowedHyperlink"/>
    <w:basedOn w:val="a0"/>
    <w:uiPriority w:val="99"/>
    <w:semiHidden/>
    <w:unhideWhenUsed/>
    <w:rsid w:val="000978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cet.ac.il/pages/item.asp?item=14537" TargetMode="External"/><Relationship Id="rId3" Type="http://schemas.openxmlformats.org/officeDocument/2006/relationships/settings" Target="settings.xml"/><Relationship Id="rId7" Type="http://schemas.openxmlformats.org/officeDocument/2006/relationships/hyperlink" Target="http://www.yadvashem.org/yv/he/holocaust/about/related/docs/108.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b.cet.ac.il/pages/item.asp?item=15525&amp;source=781" TargetMode="External"/><Relationship Id="rId11" Type="http://schemas.openxmlformats.org/officeDocument/2006/relationships/fontTable" Target="fontTable.xml"/><Relationship Id="rId5" Type="http://schemas.openxmlformats.org/officeDocument/2006/relationships/hyperlink" Target="http://lib.cet.ac.il/pages/item.asp?item=15524" TargetMode="External"/><Relationship Id="rId10" Type="http://schemas.openxmlformats.org/officeDocument/2006/relationships/hyperlink" Target="http://lib.cet.ac.il/pages/item.asp?item=15962" TargetMode="External"/><Relationship Id="rId4" Type="http://schemas.openxmlformats.org/officeDocument/2006/relationships/webSettings" Target="webSettings.xml"/><Relationship Id="rId9" Type="http://schemas.openxmlformats.org/officeDocument/2006/relationships/hyperlink" Target="http://lib.cet.ac.il/pages/item.asp?item=1591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3091</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2016-10-25T22:11:00Z</dcterms:created>
  <dcterms:modified xsi:type="dcterms:W3CDTF">2016-10-25T22:11:00Z</dcterms:modified>
</cp:coreProperties>
</file>