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33" w:rsidRPr="00F92593" w:rsidRDefault="00F92593" w:rsidP="00F92593">
      <w:pPr>
        <w:jc w:val="center"/>
        <w:rPr>
          <w:rFonts w:hint="cs"/>
          <w:b/>
          <w:bCs/>
          <w:u w:val="single"/>
          <w:rtl/>
        </w:rPr>
      </w:pPr>
      <w:r w:rsidRPr="00F92593">
        <w:rPr>
          <w:rFonts w:hint="cs"/>
          <w:b/>
          <w:bCs/>
          <w:u w:val="single"/>
          <w:rtl/>
        </w:rPr>
        <w:t>תכנית ההכשרה לתכנית 'שחקים'</w:t>
      </w:r>
    </w:p>
    <w:p w:rsidR="00F92593" w:rsidRDefault="00F92593">
      <w:pPr>
        <w:rPr>
          <w:rFonts w:hint="cs"/>
          <w:rtl/>
        </w:rPr>
      </w:pPr>
    </w:p>
    <w:p w:rsidR="00F92593" w:rsidRDefault="00F92593">
      <w:pPr>
        <w:rPr>
          <w:rFonts w:hint="cs"/>
          <w:rtl/>
        </w:rPr>
      </w:pPr>
      <w:r>
        <w:rPr>
          <w:rFonts w:hint="cs"/>
          <w:rtl/>
        </w:rPr>
        <w:t>את תכנית שחקים ניתן להפעיל במספר דרכים :</w:t>
      </w:r>
    </w:p>
    <w:p w:rsidR="00F92593" w:rsidRDefault="00F92593" w:rsidP="00F92593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כתכנית לימוד ל 10-12 ש"ל המהווה קרדיט 1 בתכנית </w:t>
      </w:r>
      <w:proofErr w:type="spellStart"/>
      <w:r>
        <w:rPr>
          <w:rFonts w:hint="cs"/>
          <w:rtl/>
        </w:rPr>
        <w:t>היל"ה</w:t>
      </w:r>
      <w:proofErr w:type="spellEnd"/>
      <w:r>
        <w:rPr>
          <w:rFonts w:hint="cs"/>
          <w:rtl/>
        </w:rPr>
        <w:t>. ( 60 ש' )</w:t>
      </w:r>
    </w:p>
    <w:p w:rsidR="00F92593" w:rsidRDefault="00F92593" w:rsidP="00F92593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כתכנית העשרה משולבת במסלולים הטכנולוגיים ( מודולרית) </w:t>
      </w:r>
    </w:p>
    <w:p w:rsidR="00F92593" w:rsidRDefault="00F92593" w:rsidP="00F92593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כמיומנות תעסוקתית בפני עצמה ( 60 ש' ) </w:t>
      </w:r>
    </w:p>
    <w:p w:rsidR="00F92593" w:rsidRDefault="00F92593" w:rsidP="00F92593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כתכנית חינוכית- טיפולית מלווה למיומנות תעסוקתית אחרת ( 20 ש' ) </w:t>
      </w:r>
    </w:p>
    <w:p w:rsidR="00F92593" w:rsidRDefault="00F92593" w:rsidP="00F92593">
      <w:pPr>
        <w:rPr>
          <w:rFonts w:hint="cs"/>
          <w:rtl/>
        </w:rPr>
      </w:pPr>
    </w:p>
    <w:p w:rsidR="00F92593" w:rsidRDefault="00F92593" w:rsidP="00F92593">
      <w:pPr>
        <w:rPr>
          <w:rFonts w:hint="cs"/>
          <w:rtl/>
        </w:rPr>
      </w:pPr>
      <w:r>
        <w:rPr>
          <w:rFonts w:hint="cs"/>
          <w:rtl/>
        </w:rPr>
        <w:t xml:space="preserve">לאור כך ההכשרה לתכנית מיועדת הן למורים בתכנית </w:t>
      </w:r>
      <w:proofErr w:type="spellStart"/>
      <w:r>
        <w:rPr>
          <w:rFonts w:hint="cs"/>
          <w:rtl/>
        </w:rPr>
        <w:t>היל"ה</w:t>
      </w:r>
      <w:proofErr w:type="spellEnd"/>
      <w:r>
        <w:rPr>
          <w:rFonts w:hint="cs"/>
          <w:rtl/>
        </w:rPr>
        <w:t xml:space="preserve"> והן לעובדי קידום נוער ביחידות. ההכשרה בנויה מחלקים תיאורטיים המבססים את הרקע והתפיסות של תכנית שחקים ומחלקים מעשיים של התנסות ממשית בדרכי הפעלתה. </w:t>
      </w:r>
    </w:p>
    <w:p w:rsidR="00F92593" w:rsidRDefault="00F92593" w:rsidP="00F92593">
      <w:pPr>
        <w:rPr>
          <w:rFonts w:hint="cs"/>
          <w:rtl/>
        </w:rPr>
      </w:pPr>
      <w:r>
        <w:rPr>
          <w:rFonts w:hint="cs"/>
          <w:rtl/>
        </w:rPr>
        <w:t>בנוסף יוקדש חלק לתהליך ההערכה ומתן ציון וכן לעבודה המשותפת של מורה ועובד/ת קידום נוער.</w:t>
      </w:r>
    </w:p>
    <w:p w:rsidR="00F92593" w:rsidRDefault="00F92593" w:rsidP="00F92593">
      <w:pPr>
        <w:rPr>
          <w:rFonts w:hint="cs"/>
          <w:rtl/>
        </w:rPr>
      </w:pPr>
      <w:r>
        <w:rPr>
          <w:rFonts w:hint="cs"/>
          <w:rtl/>
        </w:rPr>
        <w:t xml:space="preserve">ההכשרה היא בת 18 ש' המחולקים לשלושה ימי הכשרה </w:t>
      </w:r>
      <w:r>
        <w:rPr>
          <w:rtl/>
        </w:rPr>
        <w:t>–</w:t>
      </w:r>
      <w:r>
        <w:rPr>
          <w:rFonts w:hint="cs"/>
          <w:rtl/>
        </w:rPr>
        <w:t xml:space="preserve"> יומיים לפני תחילת הפעלת התכנית ויום נוסף במהלכה. </w:t>
      </w:r>
    </w:p>
    <w:p w:rsidR="00F92593" w:rsidRDefault="00F92593" w:rsidP="00F92593">
      <w:pPr>
        <w:rPr>
          <w:rFonts w:hint="cs"/>
          <w:rtl/>
        </w:rPr>
      </w:pPr>
      <w:r>
        <w:rPr>
          <w:rFonts w:hint="cs"/>
          <w:rtl/>
        </w:rPr>
        <w:t xml:space="preserve">להלן תכנית ההכשרה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710"/>
        <w:gridCol w:w="2130"/>
        <w:gridCol w:w="710"/>
        <w:gridCol w:w="2132"/>
        <w:gridCol w:w="710"/>
      </w:tblGrid>
      <w:tr w:rsidR="00F92593" w:rsidTr="005D409F"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יום 1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יחידת זמן</w:t>
            </w:r>
          </w:p>
        </w:tc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יום 2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יחידת זמן </w:t>
            </w:r>
          </w:p>
        </w:tc>
        <w:tc>
          <w:tcPr>
            <w:tcW w:w="2132" w:type="dxa"/>
          </w:tcPr>
          <w:p w:rsidR="00F92593" w:rsidRDefault="00F92593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יום 3 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יחידת זמן</w:t>
            </w:r>
          </w:p>
        </w:tc>
      </w:tr>
      <w:tr w:rsidR="00F92593" w:rsidTr="005D409F"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הכרות בין משתתפי התכנית</w:t>
            </w:r>
          </w:p>
          <w:p w:rsidR="00F92593" w:rsidRDefault="00F92593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הכרות עם מטרות תכנית שחקים.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F92593" w:rsidRDefault="00F92593" w:rsidP="005D409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  <w:r w:rsidR="005D409F">
              <w:rPr>
                <w:rFonts w:hint="cs"/>
                <w:rtl/>
              </w:rPr>
              <w:t xml:space="preserve"> </w:t>
            </w:r>
          </w:p>
        </w:tc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5D409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התנסות בתכנית 2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2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הרצאת העשרה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F92593" w:rsidTr="005D409F">
        <w:tc>
          <w:tcPr>
            <w:tcW w:w="2130" w:type="dxa"/>
          </w:tcPr>
          <w:p w:rsidR="00F92593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אוריינטציית העתיד ושאיפות תעסוקתיות של נוער בסיכון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5D409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התנסות בתכנית 3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2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דילמות מ</w:t>
            </w:r>
            <w:bookmarkStart w:id="0" w:name="_GoBack"/>
            <w:bookmarkEnd w:id="0"/>
            <w:r>
              <w:rPr>
                <w:rFonts w:hint="cs"/>
                <w:rtl/>
              </w:rPr>
              <w:t>הפעלת התכנית ומשוב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F92593" w:rsidTr="005D409F"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תפיסת התעסוקה בקידום נוער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עבודה בצוותא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2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הכנה לפרויקט מיצגים אישיים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F92593" w:rsidTr="005D409F"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מושגי יסוד בהפעלת תכנית שחקים</w:t>
            </w:r>
          </w:p>
          <w:p w:rsidR="005D409F" w:rsidRDefault="005D409F" w:rsidP="00F92593">
            <w:pPr>
              <w:rPr>
                <w:rFonts w:hint="cs"/>
                <w:rtl/>
              </w:rPr>
            </w:pP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תהליכי הערכה ומתן ציון</w:t>
            </w:r>
          </w:p>
          <w:p w:rsidR="005D409F" w:rsidRDefault="005D409F" w:rsidP="00F92593">
            <w:pPr>
              <w:rPr>
                <w:rFonts w:hint="cs"/>
                <w:rtl/>
              </w:rPr>
            </w:pP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2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</w:tc>
      </w:tr>
      <w:tr w:rsidR="00F92593" w:rsidTr="005D409F"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5D409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התנסות בתכנית 1</w:t>
            </w:r>
          </w:p>
          <w:p w:rsidR="005D409F" w:rsidRDefault="005D409F" w:rsidP="00F92593">
            <w:pPr>
              <w:rPr>
                <w:rFonts w:hint="cs"/>
                <w:rtl/>
              </w:rPr>
            </w:pP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0.5</w:t>
            </w:r>
          </w:p>
        </w:tc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5D409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התנסות בתכנית 4 וסיכום</w:t>
            </w: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  <w:p w:rsidR="005D409F" w:rsidRDefault="005D409F" w:rsidP="00F9259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2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</w:tc>
      </w:tr>
      <w:tr w:rsidR="00F92593" w:rsidTr="005D409F"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</w:tc>
        <w:tc>
          <w:tcPr>
            <w:tcW w:w="213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</w:tc>
        <w:tc>
          <w:tcPr>
            <w:tcW w:w="2132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</w:tc>
        <w:tc>
          <w:tcPr>
            <w:tcW w:w="710" w:type="dxa"/>
          </w:tcPr>
          <w:p w:rsidR="00F92593" w:rsidRDefault="00F92593" w:rsidP="00F92593">
            <w:pPr>
              <w:rPr>
                <w:rFonts w:hint="cs"/>
                <w:rtl/>
              </w:rPr>
            </w:pPr>
          </w:p>
        </w:tc>
      </w:tr>
    </w:tbl>
    <w:p w:rsidR="00F92593" w:rsidRDefault="00F92593" w:rsidP="00F92593">
      <w:pPr>
        <w:rPr>
          <w:rFonts w:hint="cs"/>
          <w:rtl/>
        </w:rPr>
      </w:pPr>
    </w:p>
    <w:p w:rsidR="00F92593" w:rsidRDefault="00F92593" w:rsidP="00F92593">
      <w:pPr>
        <w:rPr>
          <w:rFonts w:hint="cs"/>
        </w:rPr>
      </w:pPr>
    </w:p>
    <w:sectPr w:rsidR="00F92593" w:rsidSect="00AA29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6F5"/>
    <w:multiLevelType w:val="hybridMultilevel"/>
    <w:tmpl w:val="E94EE178"/>
    <w:lvl w:ilvl="0" w:tplc="DCAE9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F1"/>
    <w:rsid w:val="005D409F"/>
    <w:rsid w:val="00AA2908"/>
    <w:rsid w:val="00C66533"/>
    <w:rsid w:val="00E87DF1"/>
    <w:rsid w:val="00F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93"/>
    <w:pPr>
      <w:ind w:left="720"/>
      <w:contextualSpacing/>
    </w:pPr>
  </w:style>
  <w:style w:type="table" w:styleId="a4">
    <w:name w:val="Table Grid"/>
    <w:basedOn w:val="a1"/>
    <w:uiPriority w:val="59"/>
    <w:rsid w:val="00F9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93"/>
    <w:pPr>
      <w:ind w:left="720"/>
      <w:contextualSpacing/>
    </w:pPr>
  </w:style>
  <w:style w:type="table" w:styleId="a4">
    <w:name w:val="Table Grid"/>
    <w:basedOn w:val="a1"/>
    <w:uiPriority w:val="59"/>
    <w:rsid w:val="00F9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2016-01-26T06:42:00Z</dcterms:created>
  <dcterms:modified xsi:type="dcterms:W3CDTF">2016-01-26T07:01:00Z</dcterms:modified>
</cp:coreProperties>
</file>