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D2" w:rsidRPr="00815051" w:rsidRDefault="00417FD2" w:rsidP="00417FD2">
      <w:pPr>
        <w:jc w:val="center"/>
        <w:rPr>
          <w:rFonts w:cs="David"/>
          <w:color w:val="1F4E79" w:themeColor="accent1" w:themeShade="80"/>
          <w:sz w:val="28"/>
          <w:szCs w:val="28"/>
          <w:u w:val="single"/>
          <w:rtl/>
        </w:rPr>
      </w:pPr>
      <w:bookmarkStart w:id="0" w:name="_GoBack"/>
      <w:bookmarkEnd w:id="0"/>
      <w:r w:rsidRPr="00815051">
        <w:rPr>
          <w:rFonts w:cs="David" w:hint="cs"/>
          <w:b/>
          <w:bCs/>
          <w:color w:val="1F4E79" w:themeColor="accent1" w:themeShade="80"/>
          <w:sz w:val="28"/>
          <w:szCs w:val="28"/>
          <w:u w:val="single"/>
          <w:rtl/>
        </w:rPr>
        <w:t xml:space="preserve">מצוה ל"א </w:t>
      </w:r>
      <w:r w:rsidRPr="00815051">
        <w:rPr>
          <w:rFonts w:cs="David"/>
          <w:b/>
          <w:bCs/>
          <w:color w:val="1F4E79" w:themeColor="accent1" w:themeShade="80"/>
          <w:sz w:val="28"/>
          <w:szCs w:val="28"/>
          <w:u w:val="single"/>
          <w:rtl/>
        </w:rPr>
        <w:t>–</w:t>
      </w:r>
      <w:r w:rsidRPr="00815051">
        <w:rPr>
          <w:rFonts w:cs="David" w:hint="cs"/>
          <w:b/>
          <w:bCs/>
          <w:color w:val="1F4E79" w:themeColor="accent1" w:themeShade="80"/>
          <w:sz w:val="28"/>
          <w:szCs w:val="28"/>
          <w:u w:val="single"/>
          <w:rtl/>
        </w:rPr>
        <w:t xml:space="preserve"> </w:t>
      </w:r>
      <w:r w:rsidRPr="00815051">
        <w:rPr>
          <w:rFonts w:cs="David" w:hint="cs"/>
          <w:b/>
          <w:bCs/>
          <w:color w:val="1F4E79" w:themeColor="accent1" w:themeShade="80"/>
          <w:sz w:val="32"/>
          <w:szCs w:val="32"/>
          <w:u w:val="single"/>
          <w:rtl/>
        </w:rPr>
        <w:t>קידוש השבת בדברים</w:t>
      </w:r>
    </w:p>
    <w:p w:rsidR="00417FD2" w:rsidRPr="0076455B" w:rsidRDefault="00417FD2" w:rsidP="00417FD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u w:val="single"/>
          <w:rtl/>
        </w:rPr>
        <w:t>הגדרת המצווה</w:t>
      </w:r>
      <w:r w:rsidRPr="0076455B">
        <w:rPr>
          <w:rFonts w:cs="David" w:hint="cs"/>
          <w:szCs w:val="28"/>
          <w:rtl/>
        </w:rPr>
        <w:t xml:space="preserve">: מצווה לדבר דברים ביום השבת שיהיה בהם זכר גדולת יום השבת, ומעלתו </w:t>
      </w:r>
      <w:proofErr w:type="spellStart"/>
      <w:r w:rsidRPr="0076455B">
        <w:rPr>
          <w:rFonts w:cs="David" w:hint="cs"/>
          <w:szCs w:val="28"/>
          <w:rtl/>
        </w:rPr>
        <w:t>והבדלתו</w:t>
      </w:r>
      <w:proofErr w:type="spellEnd"/>
      <w:r w:rsidRPr="0076455B">
        <w:rPr>
          <w:rFonts w:cs="David" w:hint="cs"/>
          <w:szCs w:val="28"/>
          <w:rtl/>
        </w:rPr>
        <w:t xml:space="preserve"> משאר ימי השבוע.</w:t>
      </w:r>
    </w:p>
    <w:p w:rsidR="00417FD2" w:rsidRPr="0076455B" w:rsidRDefault="00417FD2" w:rsidP="00417FD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u w:val="single"/>
          <w:rtl/>
        </w:rPr>
        <w:t>המקור בתורה</w:t>
      </w:r>
      <w:r w:rsidRPr="0076455B">
        <w:rPr>
          <w:rFonts w:cs="David" w:hint="cs"/>
          <w:szCs w:val="28"/>
          <w:rtl/>
        </w:rPr>
        <w:t>: "</w:t>
      </w:r>
      <w:r w:rsidRPr="0076455B">
        <w:rPr>
          <w:rFonts w:cs="David" w:hint="cs"/>
          <w:b/>
          <w:bCs/>
          <w:szCs w:val="28"/>
          <w:rtl/>
        </w:rPr>
        <w:t>זכור את יום השבת לקדשו</w:t>
      </w:r>
      <w:r w:rsidRPr="0076455B">
        <w:rPr>
          <w:rFonts w:cs="David" w:hint="cs"/>
          <w:szCs w:val="28"/>
          <w:rtl/>
        </w:rPr>
        <w:t>".</w:t>
      </w:r>
    </w:p>
    <w:p w:rsidR="00417FD2" w:rsidRDefault="00417FD2" w:rsidP="00417FD2">
      <w:pPr>
        <w:spacing w:line="360" w:lineRule="auto"/>
        <w:ind w:left="720"/>
        <w:contextualSpacing/>
        <w:rPr>
          <w:rFonts w:cs="David"/>
          <w:szCs w:val="28"/>
        </w:rPr>
      </w:pP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rtl/>
        </w:rPr>
        <w:t>איך מקיימים מצווה זו?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76455B">
        <w:rPr>
          <w:rFonts w:cs="David" w:hint="cs"/>
          <w:szCs w:val="28"/>
          <w:rtl/>
        </w:rPr>
        <w:t>: "</w:t>
      </w:r>
      <w:r w:rsidRPr="0076455B">
        <w:rPr>
          <w:rFonts w:cs="David" w:hint="cs"/>
          <w:b/>
          <w:bCs/>
          <w:szCs w:val="28"/>
          <w:rtl/>
        </w:rPr>
        <w:t>זכרהו על היין</w:t>
      </w:r>
      <w:r w:rsidRPr="0076455B">
        <w:rPr>
          <w:rFonts w:cs="David" w:hint="cs"/>
          <w:szCs w:val="28"/>
          <w:rtl/>
        </w:rPr>
        <w:t xml:space="preserve">", נותנים בכוס רביעית יין (או יותר) ומברכם עליו קדוש השבת. וכן ביציאת השבת, מברכים על היין לכבוד צאת היום, </w:t>
      </w:r>
      <w:r w:rsidRPr="0076455B">
        <w:rPr>
          <w:rFonts w:cs="David" w:hint="cs"/>
          <w:b/>
          <w:bCs/>
          <w:szCs w:val="28"/>
          <w:rtl/>
        </w:rPr>
        <w:t>הבדלה</w:t>
      </w:r>
      <w:r w:rsidRPr="0076455B">
        <w:rPr>
          <w:rFonts w:cs="David" w:hint="cs"/>
          <w:szCs w:val="28"/>
          <w:rtl/>
        </w:rPr>
        <w:t>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u w:val="single"/>
          <w:rtl/>
        </w:rPr>
        <w:t>טעם המצווה</w:t>
      </w:r>
      <w:r w:rsidRPr="0076455B">
        <w:rPr>
          <w:rFonts w:cs="David" w:hint="cs"/>
          <w:szCs w:val="28"/>
          <w:rtl/>
        </w:rPr>
        <w:t>: כדי שנתעורר מתוך מעשה זה לזכור גדולת היום, ונקבע בלבבנו אמונת חידוש העולם, "</w:t>
      </w:r>
      <w:r w:rsidRPr="0076455B">
        <w:rPr>
          <w:rFonts w:cs="David" w:hint="cs"/>
          <w:b/>
          <w:bCs/>
          <w:szCs w:val="28"/>
          <w:rtl/>
        </w:rPr>
        <w:t>כי ששת ימים עשה את השמים ואת הארץ</w:t>
      </w:r>
      <w:r w:rsidRPr="0076455B">
        <w:rPr>
          <w:rFonts w:cs="David" w:hint="cs"/>
          <w:szCs w:val="28"/>
          <w:rtl/>
        </w:rPr>
        <w:t>..".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rtl/>
        </w:rPr>
        <w:t xml:space="preserve">מדוע יש לקדש  </w:t>
      </w:r>
      <w:r w:rsidRPr="0076455B">
        <w:rPr>
          <w:rFonts w:cs="David" w:hint="cs"/>
          <w:b/>
          <w:bCs/>
          <w:szCs w:val="28"/>
          <w:rtl/>
        </w:rPr>
        <w:t>דווקא</w:t>
      </w:r>
      <w:r w:rsidRPr="0076455B">
        <w:rPr>
          <w:rFonts w:cs="David" w:hint="cs"/>
          <w:szCs w:val="28"/>
          <w:rtl/>
        </w:rPr>
        <w:t xml:space="preserve"> על ה</w:t>
      </w:r>
      <w:r w:rsidRPr="0076455B">
        <w:rPr>
          <w:rFonts w:cs="David" w:hint="cs"/>
          <w:b/>
          <w:bCs/>
          <w:szCs w:val="28"/>
          <w:rtl/>
        </w:rPr>
        <w:t>יין</w:t>
      </w:r>
      <w:r w:rsidRPr="0076455B">
        <w:rPr>
          <w:rFonts w:cs="David" w:hint="cs"/>
          <w:szCs w:val="28"/>
          <w:rtl/>
        </w:rPr>
        <w:t>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815051">
        <w:rPr>
          <w:rFonts w:cs="David" w:hint="cs"/>
          <w:color w:val="1F4E79" w:themeColor="accent1" w:themeShade="80"/>
          <w:szCs w:val="28"/>
          <w:rtl/>
        </w:rPr>
        <w:t xml:space="preserve">: </w:t>
      </w:r>
      <w:r w:rsidRPr="0076455B">
        <w:rPr>
          <w:rFonts w:cs="David" w:hint="cs"/>
          <w:szCs w:val="28"/>
          <w:rtl/>
        </w:rPr>
        <w:t>לפי שטבע האדם נמשך אל היין כשהוא סועד ומשמח, ולפי התעוורות האדם ומעשיו יתפעל יותר.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rtl/>
        </w:rPr>
        <w:t xml:space="preserve">מהו הדין למי שמעדיף </w:t>
      </w:r>
      <w:r w:rsidRPr="0076455B">
        <w:rPr>
          <w:rFonts w:cs="David" w:hint="cs"/>
          <w:b/>
          <w:bCs/>
          <w:szCs w:val="28"/>
          <w:rtl/>
        </w:rPr>
        <w:t>פת לחם</w:t>
      </w:r>
      <w:r w:rsidRPr="0076455B">
        <w:rPr>
          <w:rFonts w:cs="David" w:hint="cs"/>
          <w:szCs w:val="28"/>
          <w:rtl/>
        </w:rPr>
        <w:t xml:space="preserve"> על היין?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76455B">
        <w:rPr>
          <w:rFonts w:cs="David" w:hint="cs"/>
          <w:szCs w:val="28"/>
          <w:rtl/>
        </w:rPr>
        <w:t>: על פי ספר החינוך, אם פת לחם חביב עליו יותר מן היין, יקדש על הלחם כי מתעורר טבעו יותר למה שהוא תאב.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rtl/>
        </w:rPr>
        <w:t xml:space="preserve">מדוע </w:t>
      </w:r>
      <w:r w:rsidRPr="0076455B">
        <w:rPr>
          <w:rFonts w:cs="David" w:hint="cs"/>
          <w:b/>
          <w:bCs/>
          <w:szCs w:val="28"/>
          <w:rtl/>
        </w:rPr>
        <w:t>בהבדלה</w:t>
      </w:r>
      <w:r w:rsidRPr="0076455B">
        <w:rPr>
          <w:rFonts w:cs="David" w:hint="cs"/>
          <w:szCs w:val="28"/>
          <w:rtl/>
        </w:rPr>
        <w:t xml:space="preserve"> לא ניתנה לאדם הבחירה אם להבדיל על היין או על הלחם, כמו בקידוש?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76455B">
        <w:rPr>
          <w:rFonts w:cs="David" w:hint="cs"/>
          <w:szCs w:val="28"/>
          <w:rtl/>
        </w:rPr>
        <w:t xml:space="preserve">: רוב העולם </w:t>
      </w:r>
      <w:r w:rsidRPr="0076455B">
        <w:rPr>
          <w:rFonts w:cs="David" w:hint="cs"/>
          <w:b/>
          <w:bCs/>
          <w:szCs w:val="28"/>
          <w:rtl/>
        </w:rPr>
        <w:t>מעדיפים יין</w:t>
      </w:r>
      <w:r w:rsidRPr="0076455B">
        <w:rPr>
          <w:rFonts w:cs="David" w:hint="cs"/>
          <w:szCs w:val="28"/>
          <w:rtl/>
        </w:rPr>
        <w:t xml:space="preserve"> במוצאי שבת יותר מן הלחם, לפי שכבר קבעו סעודה גדולה ביום השבת.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  <w:rtl/>
        </w:rPr>
      </w:pPr>
      <w:r w:rsidRPr="0076455B">
        <w:rPr>
          <w:rFonts w:cs="David" w:hint="cs"/>
          <w:szCs w:val="28"/>
          <w:rtl/>
        </w:rPr>
        <w:t>מהי</w:t>
      </w:r>
      <w:r w:rsidRPr="0076455B">
        <w:rPr>
          <w:rFonts w:cs="David"/>
          <w:szCs w:val="28"/>
          <w:rtl/>
        </w:rPr>
        <w:t xml:space="preserve"> </w:t>
      </w:r>
      <w:r w:rsidRPr="0076455B">
        <w:rPr>
          <w:rFonts w:cs="David" w:hint="cs"/>
          <w:b/>
          <w:bCs/>
          <w:szCs w:val="28"/>
          <w:rtl/>
        </w:rPr>
        <w:t>כמות</w:t>
      </w:r>
      <w:r w:rsidRPr="0076455B">
        <w:rPr>
          <w:rFonts w:cs="David"/>
          <w:b/>
          <w:bCs/>
          <w:szCs w:val="28"/>
          <w:rtl/>
        </w:rPr>
        <w:t xml:space="preserve"> </w:t>
      </w:r>
      <w:r w:rsidRPr="0076455B">
        <w:rPr>
          <w:rFonts w:cs="David" w:hint="cs"/>
          <w:b/>
          <w:bCs/>
          <w:szCs w:val="28"/>
          <w:rtl/>
        </w:rPr>
        <w:t>היין</w:t>
      </w:r>
      <w:r w:rsidRPr="0076455B">
        <w:rPr>
          <w:rFonts w:cs="David"/>
          <w:szCs w:val="28"/>
          <w:rtl/>
        </w:rPr>
        <w:t xml:space="preserve"> </w:t>
      </w:r>
      <w:r w:rsidRPr="0076455B">
        <w:rPr>
          <w:rFonts w:cs="David" w:hint="cs"/>
          <w:szCs w:val="28"/>
          <w:rtl/>
        </w:rPr>
        <w:t>הנדרשת</w:t>
      </w:r>
      <w:r w:rsidRPr="0076455B">
        <w:rPr>
          <w:rFonts w:cs="David"/>
          <w:szCs w:val="28"/>
          <w:rtl/>
        </w:rPr>
        <w:t xml:space="preserve"> </w:t>
      </w:r>
      <w:r w:rsidRPr="0076455B">
        <w:rPr>
          <w:rFonts w:cs="David" w:hint="cs"/>
          <w:szCs w:val="28"/>
          <w:rtl/>
        </w:rPr>
        <w:t>למצוות</w:t>
      </w:r>
      <w:r w:rsidRPr="0076455B">
        <w:rPr>
          <w:rFonts w:cs="David"/>
          <w:szCs w:val="28"/>
          <w:rtl/>
        </w:rPr>
        <w:t xml:space="preserve"> </w:t>
      </w:r>
      <w:r w:rsidRPr="0076455B">
        <w:rPr>
          <w:rFonts w:cs="David" w:hint="cs"/>
          <w:szCs w:val="28"/>
          <w:rtl/>
        </w:rPr>
        <w:t>קידוש</w:t>
      </w:r>
      <w:r w:rsidRPr="0076455B">
        <w:rPr>
          <w:rFonts w:cs="David"/>
          <w:szCs w:val="28"/>
          <w:rtl/>
        </w:rPr>
        <w:t xml:space="preserve">? </w:t>
      </w:r>
      <w:r w:rsidRPr="0076455B">
        <w:rPr>
          <w:rFonts w:cs="David" w:hint="cs"/>
          <w:szCs w:val="28"/>
          <w:rtl/>
        </w:rPr>
        <w:t>נמק</w:t>
      </w:r>
      <w:r w:rsidRPr="0076455B">
        <w:rPr>
          <w:rFonts w:cs="David"/>
          <w:szCs w:val="28"/>
          <w:rtl/>
        </w:rPr>
        <w:t xml:space="preserve">. 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76455B">
        <w:rPr>
          <w:rFonts w:cs="David" w:hint="cs"/>
          <w:szCs w:val="28"/>
          <w:rtl/>
        </w:rPr>
        <w:t>: לפחות רביעית (86 גרם) בפחות מזה השיעור אינו ראוי ולא יתעורר לב האדם עליו.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Cs w:val="28"/>
          <w:rtl/>
        </w:rPr>
        <w:t xml:space="preserve">מהן ההלכות הנוספות הנותנות </w:t>
      </w:r>
      <w:r w:rsidRPr="0076455B">
        <w:rPr>
          <w:rFonts w:cs="David" w:hint="cs"/>
          <w:b/>
          <w:bCs/>
          <w:szCs w:val="28"/>
          <w:rtl/>
        </w:rPr>
        <w:t>ערך משמעותי</w:t>
      </w:r>
      <w:r w:rsidRPr="0076455B">
        <w:rPr>
          <w:rFonts w:cs="David" w:hint="cs"/>
          <w:szCs w:val="28"/>
          <w:rtl/>
        </w:rPr>
        <w:t xml:space="preserve"> למצוות קידוש?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Cs w:val="28"/>
          <w:u w:val="single"/>
          <w:rtl/>
        </w:rPr>
        <w:t>תשובה</w:t>
      </w:r>
      <w:r w:rsidRPr="0076455B">
        <w:rPr>
          <w:rFonts w:cs="David" w:hint="cs"/>
          <w:szCs w:val="28"/>
          <w:rtl/>
        </w:rPr>
        <w:t>: א. יש לשטוף את הכוס לפני קידוש.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76455B">
        <w:rPr>
          <w:rFonts w:cs="David" w:hint="cs"/>
          <w:szCs w:val="28"/>
          <w:rtl/>
        </w:rPr>
        <w:t xml:space="preserve">              ב. אין לאכול כלום לפני הקידוש.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76455B">
        <w:rPr>
          <w:rFonts w:cs="David" w:hint="cs"/>
          <w:szCs w:val="28"/>
          <w:rtl/>
        </w:rPr>
        <w:t xml:space="preserve">              ג. יש לקדש במקום סעודה.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Cs w:val="28"/>
        </w:rPr>
      </w:pPr>
      <w:r w:rsidRPr="0076455B">
        <w:rPr>
          <w:rFonts w:cs="David" w:hint="cs"/>
          <w:sz w:val="28"/>
          <w:szCs w:val="28"/>
          <w:rtl/>
        </w:rPr>
        <w:t xml:space="preserve"> האם </w:t>
      </w:r>
      <w:r w:rsidRPr="0076455B">
        <w:rPr>
          <w:rFonts w:cs="David" w:hint="cs"/>
          <w:b/>
          <w:bCs/>
          <w:sz w:val="28"/>
          <w:szCs w:val="28"/>
          <w:rtl/>
        </w:rPr>
        <w:t>נשים חייבות</w:t>
      </w:r>
      <w:r w:rsidRPr="0076455B">
        <w:rPr>
          <w:rFonts w:cs="David" w:hint="cs"/>
          <w:sz w:val="28"/>
          <w:szCs w:val="28"/>
          <w:rtl/>
        </w:rPr>
        <w:t xml:space="preserve"> במצוות קידוש והרי זו מצווה שתלויה בזמן?</w:t>
      </w:r>
    </w:p>
    <w:p w:rsidR="00417FD2" w:rsidRPr="0076455B" w:rsidRDefault="00417FD2" w:rsidP="00417FD2">
      <w:pPr>
        <w:spacing w:line="360" w:lineRule="auto"/>
        <w:ind w:left="720"/>
        <w:contextualSpacing/>
        <w:rPr>
          <w:rFonts w:cs="David"/>
          <w:szCs w:val="28"/>
          <w:rtl/>
        </w:rPr>
      </w:pPr>
      <w:r w:rsidRPr="00815051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</w:t>
      </w:r>
      <w:r w:rsidRPr="0076455B">
        <w:rPr>
          <w:rFonts w:cs="David" w:hint="cs"/>
          <w:sz w:val="28"/>
          <w:szCs w:val="28"/>
          <w:rtl/>
        </w:rPr>
        <w:t xml:space="preserve">:  חכמים לימדו אותנו שאף על פי שהיא מצוות עשה שהזמן </w:t>
      </w:r>
      <w:proofErr w:type="spellStart"/>
      <w:r w:rsidRPr="0076455B">
        <w:rPr>
          <w:rFonts w:cs="David" w:hint="cs"/>
          <w:sz w:val="28"/>
          <w:szCs w:val="28"/>
          <w:rtl/>
        </w:rPr>
        <w:t>גרמא</w:t>
      </w:r>
      <w:proofErr w:type="spellEnd"/>
      <w:r w:rsidRPr="0076455B">
        <w:rPr>
          <w:rFonts w:cs="David" w:hint="cs"/>
          <w:sz w:val="28"/>
          <w:szCs w:val="28"/>
          <w:rtl/>
        </w:rPr>
        <w:t>, הנשים חייבות בקידוש ובהבדלה.</w:t>
      </w:r>
    </w:p>
    <w:p w:rsidR="00417FD2" w:rsidRPr="0076455B" w:rsidRDefault="00417FD2" w:rsidP="00417FD2">
      <w:pPr>
        <w:numPr>
          <w:ilvl w:val="0"/>
          <w:numId w:val="1"/>
        </w:numPr>
        <w:spacing w:line="360" w:lineRule="auto"/>
        <w:contextualSpacing/>
        <w:rPr>
          <w:rFonts w:cs="David"/>
          <w:sz w:val="28"/>
          <w:szCs w:val="28"/>
        </w:rPr>
      </w:pPr>
      <w:r w:rsidRPr="0076455B">
        <w:rPr>
          <w:rFonts w:cs="David" w:hint="cs"/>
          <w:sz w:val="28"/>
          <w:szCs w:val="28"/>
          <w:rtl/>
        </w:rPr>
        <w:t xml:space="preserve">מהו הדין אם </w:t>
      </w:r>
      <w:r w:rsidRPr="0076455B">
        <w:rPr>
          <w:rFonts w:cs="David" w:hint="cs"/>
          <w:b/>
          <w:bCs/>
          <w:sz w:val="28"/>
          <w:szCs w:val="28"/>
          <w:rtl/>
        </w:rPr>
        <w:t>קידש בדברים</w:t>
      </w:r>
      <w:r w:rsidRPr="0076455B">
        <w:rPr>
          <w:rFonts w:cs="David" w:hint="cs"/>
          <w:sz w:val="28"/>
          <w:szCs w:val="28"/>
          <w:rtl/>
        </w:rPr>
        <w:t xml:space="preserve"> בלא יין ובלא לחם?</w:t>
      </w:r>
    </w:p>
    <w:p w:rsidR="00417FD2" w:rsidRDefault="00417FD2" w:rsidP="00417FD2">
      <w:pPr>
        <w:spacing w:line="360" w:lineRule="auto"/>
        <w:ind w:left="720"/>
        <w:contextualSpacing/>
        <w:rPr>
          <w:rFonts w:cs="David"/>
          <w:sz w:val="28"/>
          <w:szCs w:val="28"/>
          <w:rtl/>
        </w:rPr>
      </w:pPr>
      <w:r w:rsidRPr="00815051">
        <w:rPr>
          <w:rFonts w:cs="David" w:hint="cs"/>
          <w:color w:val="1F4E79" w:themeColor="accent1" w:themeShade="80"/>
          <w:sz w:val="28"/>
          <w:szCs w:val="28"/>
          <w:u w:val="single"/>
          <w:rtl/>
        </w:rPr>
        <w:t>תשובה:</w:t>
      </w:r>
      <w:r w:rsidRPr="0076455B">
        <w:rPr>
          <w:rFonts w:cs="David" w:hint="cs"/>
          <w:sz w:val="28"/>
          <w:szCs w:val="28"/>
          <w:rtl/>
        </w:rPr>
        <w:t xml:space="preserve"> מן התורה, יצא בדיעבד .</w:t>
      </w:r>
    </w:p>
    <w:p w:rsidR="00417FD2" w:rsidRPr="0076455B" w:rsidRDefault="00417FD2" w:rsidP="00417FD2">
      <w:pPr>
        <w:spacing w:line="360" w:lineRule="auto"/>
        <w:ind w:left="720"/>
        <w:contextualSpacing/>
        <w:jc w:val="center"/>
        <w:rPr>
          <w:rFonts w:cs="David"/>
          <w:sz w:val="28"/>
          <w:szCs w:val="28"/>
        </w:rPr>
      </w:pPr>
    </w:p>
    <w:p w:rsidR="00417FD2" w:rsidRDefault="00417FD2" w:rsidP="00417FD2">
      <w:pPr>
        <w:spacing w:after="0" w:line="360" w:lineRule="auto"/>
        <w:jc w:val="center"/>
        <w:rPr>
          <w:rFonts w:cs="David"/>
          <w:sz w:val="24"/>
          <w:szCs w:val="32"/>
          <w:rtl/>
        </w:rPr>
      </w:pPr>
    </w:p>
    <w:p w:rsidR="00990ED9" w:rsidRDefault="00990ED9" w:rsidP="00815051">
      <w:pPr>
        <w:pStyle w:val="a3"/>
        <w:tabs>
          <w:tab w:val="clear" w:pos="4153"/>
          <w:tab w:val="clear" w:pos="8306"/>
        </w:tabs>
        <w:spacing w:after="200" w:line="360" w:lineRule="auto"/>
      </w:pPr>
    </w:p>
    <w:sectPr w:rsidR="00990ED9" w:rsidSect="00417FD2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07" w:rsidRDefault="00602507" w:rsidP="00815051">
      <w:pPr>
        <w:spacing w:after="0" w:line="240" w:lineRule="auto"/>
      </w:pPr>
      <w:r>
        <w:separator/>
      </w:r>
    </w:p>
  </w:endnote>
  <w:endnote w:type="continuationSeparator" w:id="0">
    <w:p w:rsidR="00602507" w:rsidRDefault="00602507" w:rsidP="0081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07" w:rsidRDefault="00602507" w:rsidP="00815051">
      <w:pPr>
        <w:spacing w:after="0" w:line="240" w:lineRule="auto"/>
      </w:pPr>
      <w:r>
        <w:separator/>
      </w:r>
    </w:p>
  </w:footnote>
  <w:footnote w:type="continuationSeparator" w:id="0">
    <w:p w:rsidR="00602507" w:rsidRDefault="00602507" w:rsidP="0081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051" w:rsidRDefault="00815051">
    <w:pPr>
      <w:pStyle w:val="a3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B73716E" wp14:editId="7AF0FE12">
          <wp:simplePos x="0" y="0"/>
          <wp:positionH relativeFrom="column">
            <wp:posOffset>-47625</wp:posOffset>
          </wp:positionH>
          <wp:positionV relativeFrom="paragraph">
            <wp:posOffset>-392430</wp:posOffset>
          </wp:positionV>
          <wp:extent cx="6991350" cy="685800"/>
          <wp:effectExtent l="0" t="0" r="0" b="0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05B3A"/>
    <w:multiLevelType w:val="hybridMultilevel"/>
    <w:tmpl w:val="17F220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2"/>
    <w:rsid w:val="00417FD2"/>
    <w:rsid w:val="00602507"/>
    <w:rsid w:val="007D3A86"/>
    <w:rsid w:val="00815051"/>
    <w:rsid w:val="009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4A45F-1B0A-4C09-87BF-09F8E2F0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15051"/>
  </w:style>
  <w:style w:type="paragraph" w:styleId="a5">
    <w:name w:val="footer"/>
    <w:basedOn w:val="a"/>
    <w:link w:val="a6"/>
    <w:uiPriority w:val="99"/>
    <w:unhideWhenUsed/>
    <w:rsid w:val="00815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2020-03-17T23:23:00Z</dcterms:created>
  <dcterms:modified xsi:type="dcterms:W3CDTF">2020-03-18T21:33:00Z</dcterms:modified>
</cp:coreProperties>
</file>